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5758" w14:textId="5E8E945D" w:rsidR="0060349A" w:rsidRDefault="0060349A" w:rsidP="0060349A">
      <w:bookmarkStart w:id="0" w:name="_GoBack"/>
      <w:bookmarkEnd w:id="0"/>
      <w:r>
        <w:rPr>
          <w:noProof/>
          <w:lang w:eastAsia="en-AU"/>
        </w:rPr>
        <w:drawing>
          <wp:anchor distT="0" distB="0" distL="114300" distR="114300" simplePos="0" relativeHeight="251660288" behindDoc="1" locked="0" layoutInCell="1" allowOverlap="1" wp14:anchorId="63F71EFB" wp14:editId="0C8A2AED">
            <wp:simplePos x="0" y="0"/>
            <wp:positionH relativeFrom="column">
              <wp:posOffset>620809</wp:posOffset>
            </wp:positionH>
            <wp:positionV relativeFrom="paragraph">
              <wp:posOffset>122085</wp:posOffset>
            </wp:positionV>
            <wp:extent cx="1257300" cy="1041400"/>
            <wp:effectExtent l="0" t="0" r="0" b="6350"/>
            <wp:wrapTight wrapText="bothSides">
              <wp:wrapPolygon edited="0">
                <wp:start x="0" y="0"/>
                <wp:lineTo x="0" y="21337"/>
                <wp:lineTo x="21273" y="21337"/>
                <wp:lineTo x="21273" y="0"/>
                <wp:lineTo x="0" y="0"/>
              </wp:wrapPolygon>
            </wp:wrapTight>
            <wp:docPr id="5" name="Picture 5"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0" layoutInCell="1" allowOverlap="1" wp14:anchorId="1A6C6737" wp14:editId="6EC1E8B2">
                <wp:simplePos x="0" y="0"/>
                <wp:positionH relativeFrom="column">
                  <wp:align>right</wp:align>
                </wp:positionH>
                <wp:positionV relativeFrom="paragraph">
                  <wp:posOffset>0</wp:posOffset>
                </wp:positionV>
                <wp:extent cx="1847850" cy="1669415"/>
                <wp:effectExtent l="0" t="0" r="0" b="6985"/>
                <wp:wrapTight wrapText="bothSides">
                  <wp:wrapPolygon edited="0">
                    <wp:start x="445" y="0"/>
                    <wp:lineTo x="445" y="21444"/>
                    <wp:lineTo x="20932" y="21444"/>
                    <wp:lineTo x="20932" y="0"/>
                    <wp:lineTo x="445"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45B7"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Level 3</w:t>
                            </w:r>
                          </w:p>
                          <w:p w14:paraId="3774584B"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Ross House</w:t>
                            </w:r>
                          </w:p>
                          <w:p w14:paraId="056C14C9"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E6606D6"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4B2112D6"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4EDC8671"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7D1E69B3"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Fax: 03 9650 3200</w:t>
                            </w:r>
                          </w:p>
                          <w:p w14:paraId="12C9F144" w14:textId="77777777" w:rsidR="005B23D5" w:rsidRDefault="005B23D5" w:rsidP="0060349A">
                            <w:pPr>
                              <w:spacing w:after="0" w:line="240" w:lineRule="auto"/>
                              <w:jc w:val="right"/>
                              <w:rPr>
                                <w:rFonts w:ascii="Arial Narrow" w:hAnsi="Arial Narrow"/>
                                <w:sz w:val="24"/>
                              </w:rPr>
                            </w:pPr>
                            <w:r>
                              <w:rPr>
                                <w:rFonts w:ascii="Arial Narrow" w:hAnsi="Arial Narrow"/>
                                <w:sz w:val="24"/>
                              </w:rPr>
                              <w:t>Email: bca@bca.org.au</w:t>
                            </w:r>
                          </w:p>
                          <w:p w14:paraId="7E224A1B" w14:textId="300BC0DC" w:rsidR="005B23D5" w:rsidRPr="0060349A" w:rsidRDefault="005B23D5" w:rsidP="0060349A">
                            <w:pPr>
                              <w:jc w:val="right"/>
                              <w:rPr>
                                <w:rFonts w:ascii="Arial Narrow" w:hAnsi="Arial Narrow"/>
                                <w:sz w:val="24"/>
                              </w:rPr>
                            </w:pPr>
                            <w:r>
                              <w:rPr>
                                <w:rFonts w:ascii="Arial Narrow" w:hAnsi="Arial Narrow"/>
                                <w:sz w:val="24"/>
                              </w:rPr>
                              <w:t>Website: www.bca.org.au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6737" id="_x0000_t202" coordsize="21600,21600" o:spt="202" path="m,l,21600r21600,l21600,xe">
                <v:stroke joinstyle="miter"/>
                <v:path gradientshapeok="t" o:connecttype="rect"/>
              </v:shapetype>
              <v:shape id="Text Box 4" o:spid="_x0000_s1026" type="#_x0000_t202" style="position:absolute;margin-left:94.3pt;margin-top:0;width:145.5pt;height:131.45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ZU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" filled="f" stroked="f">
                <v:textbox>
                  <w:txbxContent>
                    <w:p w14:paraId="307945B7"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 xml:space="preserve">Level </w:t>
                      </w:r>
                      <w:proofErr w:type="gramStart"/>
                      <w:r>
                        <w:rPr>
                          <w:rFonts w:ascii="Arial Narrow" w:hAnsi="Arial Narrow"/>
                          <w:sz w:val="24"/>
                        </w:rPr>
                        <w:t>3</w:t>
                      </w:r>
                      <w:proofErr w:type="gramEnd"/>
                    </w:p>
                    <w:p w14:paraId="3774584B"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Ross House</w:t>
                      </w:r>
                    </w:p>
                    <w:p w14:paraId="056C14C9"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E6606D6"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4B2112D6"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4EDC8671"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7D1E69B3" w14:textId="77777777" w:rsidR="005B23D5" w:rsidRDefault="005B23D5" w:rsidP="0060349A">
                      <w:pPr>
                        <w:tabs>
                          <w:tab w:val="left" w:pos="7513"/>
                        </w:tabs>
                        <w:spacing w:after="0" w:line="240" w:lineRule="auto"/>
                        <w:jc w:val="right"/>
                        <w:rPr>
                          <w:rFonts w:ascii="Arial Narrow" w:hAnsi="Arial Narrow"/>
                          <w:sz w:val="24"/>
                        </w:rPr>
                      </w:pPr>
                      <w:r>
                        <w:rPr>
                          <w:rFonts w:ascii="Arial Narrow" w:hAnsi="Arial Narrow"/>
                          <w:sz w:val="24"/>
                        </w:rPr>
                        <w:t>Fax: 03 9650 3200</w:t>
                      </w:r>
                    </w:p>
                    <w:p w14:paraId="12C9F144" w14:textId="77777777" w:rsidR="005B23D5" w:rsidRDefault="005B23D5" w:rsidP="0060349A">
                      <w:pPr>
                        <w:spacing w:after="0" w:line="240" w:lineRule="auto"/>
                        <w:jc w:val="right"/>
                        <w:rPr>
                          <w:rFonts w:ascii="Arial Narrow" w:hAnsi="Arial Narrow"/>
                          <w:sz w:val="24"/>
                        </w:rPr>
                      </w:pPr>
                      <w:r>
                        <w:rPr>
                          <w:rFonts w:ascii="Arial Narrow" w:hAnsi="Arial Narrow"/>
                          <w:sz w:val="24"/>
                        </w:rPr>
                        <w:t>Email: bca@bca.org.au</w:t>
                      </w:r>
                    </w:p>
                    <w:p w14:paraId="7E224A1B" w14:textId="300BC0DC" w:rsidR="005B23D5" w:rsidRPr="0060349A" w:rsidRDefault="005B23D5" w:rsidP="0060349A">
                      <w:pPr>
                        <w:jc w:val="right"/>
                        <w:rPr>
                          <w:rFonts w:ascii="Arial Narrow" w:hAnsi="Arial Narrow"/>
                          <w:sz w:val="24"/>
                        </w:rPr>
                      </w:pPr>
                      <w:r>
                        <w:rPr>
                          <w:rFonts w:ascii="Arial Narrow" w:hAnsi="Arial Narrow"/>
                          <w:sz w:val="24"/>
                        </w:rPr>
                        <w:t>Website: www.bca.org.au</w:t>
                      </w:r>
                    </w:p>
                  </w:txbxContent>
                </v:textbox>
                <w10:wrap type="tight"/>
              </v:shape>
            </w:pict>
          </mc:Fallback>
        </mc:AlternateContent>
      </w:r>
      <w:r>
        <w:rPr>
          <w:noProof/>
          <w:lang w:eastAsia="en-AU"/>
        </w:rPr>
        <mc:AlternateContent>
          <mc:Choice Requires="wps">
            <w:drawing>
              <wp:anchor distT="0" distB="0" distL="114300" distR="114300" simplePos="0" relativeHeight="251659264" behindDoc="0" locked="1" layoutInCell="1" allowOverlap="0" wp14:anchorId="4BC06F43" wp14:editId="401BB79B">
                <wp:simplePos x="0" y="0"/>
                <wp:positionH relativeFrom="page">
                  <wp:posOffset>1080135</wp:posOffset>
                </wp:positionH>
                <wp:positionV relativeFrom="page">
                  <wp:posOffset>10175240</wp:posOffset>
                </wp:positionV>
                <wp:extent cx="5577840" cy="27876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21709" w14:textId="77777777" w:rsidR="005B23D5" w:rsidRDefault="005B23D5" w:rsidP="0060349A">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6F43" id="Text Box 3"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u2tw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" o:allowoverlap="f" filled="f" stroked="f">
                <v:textbox>
                  <w:txbxContent>
                    <w:p w14:paraId="05221709" w14:textId="77777777" w:rsidR="005B23D5" w:rsidRDefault="005B23D5" w:rsidP="0060349A">
                      <w:pPr>
                        <w:jc w:val="center"/>
                        <w:rPr>
                          <w:sz w:val="20"/>
                        </w:rPr>
                      </w:pPr>
                      <w:r>
                        <w:rPr>
                          <w:sz w:val="20"/>
                        </w:rPr>
                        <w:t>Blind Citizens Australia ABN 90 006 985 226.  Gifts are Tax Deductible.</w:t>
                      </w:r>
                    </w:p>
                  </w:txbxContent>
                </v:textbox>
                <w10:wrap anchorx="page" anchory="page"/>
                <w10:anchorlock/>
              </v:shape>
            </w:pict>
          </mc:Fallback>
        </mc:AlternateContent>
      </w:r>
    </w:p>
    <w:p w14:paraId="7D5FBDE8" w14:textId="67C9444F" w:rsidR="0060349A" w:rsidRDefault="0060349A" w:rsidP="0060349A"/>
    <w:p w14:paraId="5D055F8C" w14:textId="77777777" w:rsidR="0060349A" w:rsidRDefault="0060349A" w:rsidP="0060349A"/>
    <w:p w14:paraId="5D49FF70" w14:textId="74581F18" w:rsidR="0060349A" w:rsidRDefault="0060349A" w:rsidP="0060349A"/>
    <w:p w14:paraId="7AD96332" w14:textId="77777777" w:rsidR="0060349A" w:rsidRPr="0046041A" w:rsidRDefault="0060349A" w:rsidP="0060349A">
      <w:pPr>
        <w:rPr>
          <w:sz w:val="20"/>
        </w:rPr>
      </w:pPr>
    </w:p>
    <w:p w14:paraId="00BF6A82" w14:textId="77777777" w:rsidR="0060349A" w:rsidRDefault="0060349A" w:rsidP="0060349A">
      <w:pPr>
        <w:rPr>
          <w:color w:val="008000"/>
          <w:sz w:val="44"/>
        </w:rPr>
      </w:pPr>
      <w:r>
        <w:rPr>
          <w:color w:val="008000"/>
          <w:sz w:val="44"/>
        </w:rPr>
        <w:t>Blind Citizens Australia</w:t>
      </w:r>
    </w:p>
    <w:p w14:paraId="04CF00E2" w14:textId="77777777" w:rsidR="00927292" w:rsidRPr="002B4AB0" w:rsidRDefault="00927292" w:rsidP="00927292">
      <w:pPr>
        <w:spacing w:after="0" w:line="240" w:lineRule="auto"/>
        <w:rPr>
          <w:rFonts w:ascii="Arial" w:eastAsia="Calibri" w:hAnsi="Arial" w:cs="Times New Roman"/>
          <w:sz w:val="24"/>
          <w:lang w:val="en-US"/>
        </w:rPr>
      </w:pPr>
    </w:p>
    <w:p w14:paraId="14618870" w14:textId="42D779C0" w:rsidR="00927292" w:rsidRPr="002B4AB0" w:rsidRDefault="005106DF" w:rsidP="00947C00">
      <w:pPr>
        <w:pStyle w:val="Heading1"/>
        <w:rPr>
          <w:rFonts w:eastAsia="Calibri"/>
          <w:lang w:val="en-US"/>
        </w:rPr>
      </w:pPr>
      <w:bookmarkStart w:id="1" w:name="_Toc3205979"/>
      <w:r>
        <w:rPr>
          <w:rFonts w:eastAsia="Calibri"/>
          <w:lang w:val="en-US"/>
        </w:rPr>
        <w:t>Blindness Service Provider Expectations Policy</w:t>
      </w:r>
      <w:bookmarkEnd w:id="1"/>
    </w:p>
    <w:p w14:paraId="7CBBFC36" w14:textId="77777777" w:rsidR="00927292" w:rsidRPr="002B4AB0" w:rsidRDefault="00927292" w:rsidP="00927292">
      <w:pPr>
        <w:spacing w:after="0" w:line="240" w:lineRule="auto"/>
        <w:rPr>
          <w:rFonts w:ascii="Arial" w:eastAsia="Calibri" w:hAnsi="Arial" w:cs="Times New Roman"/>
          <w:sz w:val="24"/>
          <w:lang w:val="en-US"/>
        </w:rPr>
      </w:pPr>
    </w:p>
    <w:p w14:paraId="52C7A76A" w14:textId="77777777" w:rsidR="00927292" w:rsidRPr="002B4AB0"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Developed in consultation with Blind Citizens Australia’s National Policy Council</w:t>
      </w:r>
    </w:p>
    <w:p w14:paraId="506E7AD4" w14:textId="76489660" w:rsidR="00927292" w:rsidRPr="002B4AB0" w:rsidRDefault="00927292" w:rsidP="00927292">
      <w:pPr>
        <w:spacing w:after="0" w:line="240" w:lineRule="auto"/>
        <w:rPr>
          <w:rFonts w:ascii="Arial" w:eastAsia="Calibri" w:hAnsi="Arial" w:cs="Times New Roman"/>
          <w:sz w:val="24"/>
          <w:lang w:val="en-US"/>
        </w:rPr>
      </w:pPr>
    </w:p>
    <w:p w14:paraId="396AF161" w14:textId="68ED4FB0" w:rsidR="00927292" w:rsidRPr="002B4AB0" w:rsidRDefault="00A439CE" w:rsidP="00927292">
      <w:pPr>
        <w:spacing w:after="0" w:line="240" w:lineRule="auto"/>
        <w:rPr>
          <w:rFonts w:ascii="Arial" w:eastAsia="Calibri" w:hAnsi="Arial" w:cs="Times New Roman"/>
          <w:sz w:val="24"/>
          <w:lang w:val="en-US"/>
        </w:rPr>
      </w:pPr>
      <w:r>
        <w:rPr>
          <w:rFonts w:ascii="Arial" w:eastAsia="Calibri" w:hAnsi="Arial" w:cs="Times New Roman"/>
          <w:sz w:val="24"/>
          <w:lang w:val="en-US"/>
        </w:rPr>
        <w:t>Date adopted:</w:t>
      </w:r>
      <w:r w:rsidR="002046F5">
        <w:rPr>
          <w:rFonts w:ascii="Arial" w:eastAsia="Calibri" w:hAnsi="Arial" w:cs="Times New Roman"/>
          <w:sz w:val="24"/>
          <w:lang w:val="en-US"/>
        </w:rPr>
        <w:t xml:space="preserve"> March 2019</w:t>
      </w:r>
    </w:p>
    <w:p w14:paraId="56BAF253" w14:textId="1BF8FA61" w:rsidR="00927292"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Date last amended</w:t>
      </w:r>
      <w:r w:rsidR="00A439CE">
        <w:rPr>
          <w:rFonts w:ascii="Arial" w:eastAsia="Calibri" w:hAnsi="Arial" w:cs="Times New Roman"/>
          <w:sz w:val="24"/>
          <w:lang w:val="en-US"/>
        </w:rPr>
        <w:t>:</w:t>
      </w:r>
      <w:r w:rsidR="002046F5">
        <w:rPr>
          <w:rFonts w:ascii="Arial" w:eastAsia="Calibri" w:hAnsi="Arial" w:cs="Times New Roman"/>
          <w:sz w:val="24"/>
          <w:lang w:val="en-US"/>
        </w:rPr>
        <w:t xml:space="preserve"> NA</w:t>
      </w:r>
    </w:p>
    <w:p w14:paraId="52B28073" w14:textId="56FD635B" w:rsidR="00947C00" w:rsidRDefault="00947C00" w:rsidP="00927292">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Review date: </w:t>
      </w:r>
      <w:r w:rsidR="005C5DE8">
        <w:rPr>
          <w:rFonts w:ascii="Arial" w:eastAsia="Calibri" w:hAnsi="Arial" w:cs="Times New Roman"/>
          <w:sz w:val="24"/>
          <w:lang w:val="en-US"/>
        </w:rPr>
        <w:t>March 2021</w:t>
      </w:r>
    </w:p>
    <w:p w14:paraId="5CEF3D0E" w14:textId="7AAD85E0" w:rsidR="00927292" w:rsidRPr="002B4AB0" w:rsidRDefault="00947C00" w:rsidP="00927292">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Responsibility for review: </w:t>
      </w:r>
      <w:r w:rsidR="005106DF">
        <w:rPr>
          <w:rFonts w:ascii="Arial" w:eastAsia="Calibri" w:hAnsi="Arial" w:cs="Times New Roman"/>
          <w:sz w:val="24"/>
          <w:lang w:val="en-US"/>
        </w:rPr>
        <w:t>National Policy Council</w:t>
      </w:r>
    </w:p>
    <w:sdt>
      <w:sdtPr>
        <w:rPr>
          <w:rFonts w:asciiTheme="minorHAnsi" w:eastAsiaTheme="minorHAnsi" w:hAnsiTheme="minorHAnsi" w:cstheme="minorBidi"/>
          <w:color w:val="auto"/>
          <w:sz w:val="22"/>
          <w:szCs w:val="22"/>
          <w:lang w:val="en-AU"/>
        </w:rPr>
        <w:id w:val="2018584637"/>
        <w:docPartObj>
          <w:docPartGallery w:val="Table of Contents"/>
          <w:docPartUnique/>
        </w:docPartObj>
      </w:sdtPr>
      <w:sdtEndPr>
        <w:rPr>
          <w:rFonts w:ascii="Arial" w:hAnsi="Arial" w:cs="Arial"/>
          <w:b/>
          <w:bCs/>
          <w:noProof/>
          <w:sz w:val="24"/>
          <w:szCs w:val="24"/>
        </w:rPr>
      </w:sdtEndPr>
      <w:sdtContent>
        <w:p w14:paraId="629A0D8F" w14:textId="77777777" w:rsidR="005C5DE8" w:rsidRPr="005C5DE8" w:rsidRDefault="005E4657" w:rsidP="00AE7796">
          <w:pPr>
            <w:pStyle w:val="TOCHeading"/>
            <w:rPr>
              <w:rFonts w:ascii="Arial" w:hAnsi="Arial" w:cs="Arial"/>
              <w:noProof/>
              <w:sz w:val="24"/>
              <w:szCs w:val="24"/>
            </w:rPr>
          </w:pPr>
          <w:r w:rsidRPr="005C5DE8">
            <w:rPr>
              <w:rFonts w:ascii="Arial" w:hAnsi="Arial" w:cs="Arial"/>
              <w:color w:val="auto"/>
              <w:sz w:val="24"/>
              <w:szCs w:val="24"/>
            </w:rPr>
            <w:t>Contents</w:t>
          </w:r>
          <w:r w:rsidRPr="005C5DE8">
            <w:rPr>
              <w:rFonts w:ascii="Arial" w:hAnsi="Arial" w:cs="Arial"/>
              <w:color w:val="auto"/>
              <w:sz w:val="24"/>
              <w:szCs w:val="24"/>
            </w:rPr>
            <w:fldChar w:fldCharType="begin"/>
          </w:r>
          <w:r w:rsidRPr="005C5DE8">
            <w:rPr>
              <w:rFonts w:ascii="Arial" w:hAnsi="Arial" w:cs="Arial"/>
              <w:color w:val="auto"/>
              <w:sz w:val="24"/>
              <w:szCs w:val="24"/>
            </w:rPr>
            <w:instrText xml:space="preserve"> TOC \o "1-3" \h \z \u </w:instrText>
          </w:r>
          <w:r w:rsidRPr="005C5DE8">
            <w:rPr>
              <w:rFonts w:ascii="Arial" w:hAnsi="Arial" w:cs="Arial"/>
              <w:color w:val="auto"/>
              <w:sz w:val="24"/>
              <w:szCs w:val="24"/>
            </w:rPr>
            <w:fldChar w:fldCharType="separate"/>
          </w:r>
        </w:p>
        <w:p w14:paraId="4B0724E7" w14:textId="2BB44D8D" w:rsidR="005C5DE8" w:rsidRPr="005C5DE8" w:rsidRDefault="00BD2E6E">
          <w:pPr>
            <w:pStyle w:val="TOC1"/>
            <w:tabs>
              <w:tab w:val="right" w:leader="dot" w:pos="9016"/>
            </w:tabs>
            <w:rPr>
              <w:rFonts w:ascii="Arial" w:eastAsiaTheme="minorEastAsia" w:hAnsi="Arial" w:cs="Arial"/>
              <w:noProof/>
              <w:sz w:val="24"/>
              <w:szCs w:val="24"/>
              <w:lang w:eastAsia="en-AU"/>
            </w:rPr>
          </w:pPr>
          <w:hyperlink w:anchor="_Toc3205979" w:history="1">
            <w:r w:rsidR="005C5DE8" w:rsidRPr="005C5DE8">
              <w:rPr>
                <w:rStyle w:val="Hyperlink"/>
                <w:rFonts w:ascii="Arial" w:eastAsia="Calibri" w:hAnsi="Arial" w:cs="Arial"/>
                <w:noProof/>
                <w:sz w:val="24"/>
                <w:szCs w:val="24"/>
                <w:lang w:val="en-US"/>
              </w:rPr>
              <w:t>Blindness Service Provider Expectations Policy</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_Toc3205979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1</w:t>
            </w:r>
            <w:r w:rsidR="005C5DE8" w:rsidRPr="005C5DE8">
              <w:rPr>
                <w:rFonts w:ascii="Arial" w:hAnsi="Arial" w:cs="Arial"/>
                <w:noProof/>
                <w:webHidden/>
                <w:sz w:val="24"/>
                <w:szCs w:val="24"/>
              </w:rPr>
              <w:fldChar w:fldCharType="end"/>
            </w:r>
          </w:hyperlink>
        </w:p>
        <w:p w14:paraId="6C1F98B8" w14:textId="05C69498"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0" w:history="1">
            <w:r w:rsidR="005C5DE8" w:rsidRPr="005C5DE8">
              <w:rPr>
                <w:rStyle w:val="Hyperlink"/>
                <w:rFonts w:ascii="Arial" w:eastAsia="Calibri" w:hAnsi="Arial" w:cs="Arial"/>
                <w:noProof/>
                <w:sz w:val="24"/>
                <w:szCs w:val="24"/>
                <w:lang w:val="en-US"/>
              </w:rPr>
              <w:t>About Blind Citizens Australia</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_Toc3205980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2</w:t>
            </w:r>
            <w:r w:rsidR="005C5DE8" w:rsidRPr="005C5DE8">
              <w:rPr>
                <w:rFonts w:ascii="Arial" w:hAnsi="Arial" w:cs="Arial"/>
                <w:noProof/>
                <w:webHidden/>
                <w:sz w:val="24"/>
                <w:szCs w:val="24"/>
              </w:rPr>
              <w:fldChar w:fldCharType="end"/>
            </w:r>
          </w:hyperlink>
        </w:p>
        <w:p w14:paraId="1332ACC7" w14:textId="3800EF66"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1" w:history="1">
            <w:r w:rsidR="005C5DE8" w:rsidRPr="005C5DE8">
              <w:rPr>
                <w:rStyle w:val="Hyperlink"/>
                <w:rFonts w:ascii="Arial" w:eastAsia="Calibri" w:hAnsi="Arial" w:cs="Arial"/>
                <w:noProof/>
                <w:sz w:val="24"/>
                <w:szCs w:val="24"/>
                <w:lang w:val="en-US"/>
              </w:rPr>
              <w:t>About Australians who are blind or vision impaired</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_Toc3205981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2</w:t>
            </w:r>
            <w:r w:rsidR="005C5DE8" w:rsidRPr="005C5DE8">
              <w:rPr>
                <w:rFonts w:ascii="Arial" w:hAnsi="Arial" w:cs="Arial"/>
                <w:noProof/>
                <w:webHidden/>
                <w:sz w:val="24"/>
                <w:szCs w:val="24"/>
              </w:rPr>
              <w:fldChar w:fldCharType="end"/>
            </w:r>
          </w:hyperlink>
        </w:p>
        <w:p w14:paraId="1A1B115B" w14:textId="7D2C7277" w:rsidR="005C5DE8" w:rsidRPr="005C5DE8" w:rsidRDefault="00BD2E6E">
          <w:pPr>
            <w:pStyle w:val="TOC1"/>
            <w:tabs>
              <w:tab w:val="right" w:leader="dot" w:pos="9016"/>
            </w:tabs>
            <w:rPr>
              <w:rFonts w:ascii="Arial" w:eastAsiaTheme="minorEastAsia" w:hAnsi="Arial" w:cs="Arial"/>
              <w:noProof/>
              <w:sz w:val="24"/>
              <w:szCs w:val="24"/>
              <w:lang w:eastAsia="en-AU"/>
            </w:rPr>
          </w:pPr>
          <w:hyperlink w:anchor="_Toc3205982" w:history="1">
            <w:r w:rsidR="005C5DE8" w:rsidRPr="005C5DE8">
              <w:rPr>
                <w:rStyle w:val="Hyperlink"/>
                <w:rFonts w:ascii="Arial" w:hAnsi="Arial" w:cs="Arial"/>
                <w:noProof/>
                <w:sz w:val="24"/>
                <w:szCs w:val="24"/>
              </w:rPr>
              <w:t>1. Purpose of this policy</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_Toc3205982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2</w:t>
            </w:r>
            <w:r w:rsidR="005C5DE8" w:rsidRPr="005C5DE8">
              <w:rPr>
                <w:rFonts w:ascii="Arial" w:hAnsi="Arial" w:cs="Arial"/>
                <w:noProof/>
                <w:webHidden/>
                <w:sz w:val="24"/>
                <w:szCs w:val="24"/>
              </w:rPr>
              <w:fldChar w:fldCharType="end"/>
            </w:r>
          </w:hyperlink>
        </w:p>
        <w:p w14:paraId="1B759957" w14:textId="495C752D" w:rsidR="005C5DE8" w:rsidRPr="005C5DE8" w:rsidRDefault="00BD2E6E">
          <w:pPr>
            <w:pStyle w:val="TOC1"/>
            <w:tabs>
              <w:tab w:val="right" w:leader="dot" w:pos="9016"/>
            </w:tabs>
            <w:rPr>
              <w:rFonts w:ascii="Arial" w:eastAsiaTheme="minorEastAsia" w:hAnsi="Arial" w:cs="Arial"/>
              <w:noProof/>
              <w:sz w:val="24"/>
              <w:szCs w:val="24"/>
              <w:lang w:eastAsia="en-AU"/>
            </w:rPr>
          </w:pPr>
          <w:hyperlink w:anchor="_Toc3205983" w:history="1">
            <w:r w:rsidR="005C5DE8" w:rsidRPr="005C5DE8">
              <w:rPr>
                <w:rStyle w:val="Hyperlink"/>
                <w:rFonts w:ascii="Arial" w:hAnsi="Arial" w:cs="Arial"/>
                <w:noProof/>
                <w:sz w:val="24"/>
                <w:szCs w:val="24"/>
              </w:rPr>
              <w:t>2. Policy context</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_Toc3205983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3</w:t>
            </w:r>
            <w:r w:rsidR="005C5DE8" w:rsidRPr="005C5DE8">
              <w:rPr>
                <w:rFonts w:ascii="Arial" w:hAnsi="Arial" w:cs="Arial"/>
                <w:noProof/>
                <w:webHidden/>
                <w:sz w:val="24"/>
                <w:szCs w:val="24"/>
              </w:rPr>
              <w:fldChar w:fldCharType="end"/>
            </w:r>
          </w:hyperlink>
        </w:p>
        <w:p w14:paraId="09886AD0" w14:textId="00E35BB1" w:rsidR="005C5DE8" w:rsidRPr="005C5DE8" w:rsidRDefault="00BD2E6E">
          <w:pPr>
            <w:pStyle w:val="TOC1"/>
            <w:tabs>
              <w:tab w:val="right" w:leader="dot" w:pos="9016"/>
            </w:tabs>
            <w:rPr>
              <w:rFonts w:ascii="Arial" w:eastAsiaTheme="minorEastAsia" w:hAnsi="Arial" w:cs="Arial"/>
              <w:noProof/>
              <w:sz w:val="24"/>
              <w:szCs w:val="24"/>
              <w:lang w:eastAsia="en-AU"/>
            </w:rPr>
          </w:pPr>
          <w:hyperlink w:anchor="_Toc3205984" w:history="1">
            <w:r w:rsidR="005C5DE8" w:rsidRPr="005C5DE8">
              <w:rPr>
                <w:rStyle w:val="Hyperlink"/>
                <w:rFonts w:ascii="Arial" w:hAnsi="Arial" w:cs="Arial"/>
                <w:noProof/>
                <w:sz w:val="24"/>
                <w:szCs w:val="24"/>
              </w:rPr>
              <w:t>Policy Statement</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_Toc3205984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3</w:t>
            </w:r>
            <w:r w:rsidR="005C5DE8" w:rsidRPr="005C5DE8">
              <w:rPr>
                <w:rFonts w:ascii="Arial" w:hAnsi="Arial" w:cs="Arial"/>
                <w:noProof/>
                <w:webHidden/>
                <w:sz w:val="24"/>
                <w:szCs w:val="24"/>
              </w:rPr>
              <w:fldChar w:fldCharType="end"/>
            </w:r>
          </w:hyperlink>
        </w:p>
        <w:p w14:paraId="5176569F" w14:textId="0C6FFD80"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5" w:history="1">
            <w:r w:rsidR="005C5DE8" w:rsidRPr="005C5DE8">
              <w:rPr>
                <w:rStyle w:val="Hyperlink"/>
                <w:rFonts w:ascii="Arial" w:eastAsia="Calibri" w:hAnsi="Arial" w:cs="Arial"/>
                <w:noProof/>
                <w:sz w:val="24"/>
                <w:szCs w:val="24"/>
                <w:lang w:val="en-US"/>
              </w:rPr>
              <w:t>3. Entitlement to Service</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_Toc3205985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3</w:t>
            </w:r>
            <w:r w:rsidR="005C5DE8" w:rsidRPr="005C5DE8">
              <w:rPr>
                <w:rFonts w:ascii="Arial" w:hAnsi="Arial" w:cs="Arial"/>
                <w:noProof/>
                <w:webHidden/>
                <w:sz w:val="24"/>
                <w:szCs w:val="24"/>
              </w:rPr>
              <w:fldChar w:fldCharType="end"/>
            </w:r>
          </w:hyperlink>
        </w:p>
        <w:p w14:paraId="43E60048" w14:textId="3E8B62B5"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6" w:history="1">
            <w:r w:rsidR="005C5DE8" w:rsidRPr="005C5DE8">
              <w:rPr>
                <w:rStyle w:val="Hyperlink"/>
                <w:rFonts w:ascii="Arial" w:eastAsia="Calibri" w:hAnsi="Arial" w:cs="Arial"/>
                <w:noProof/>
                <w:sz w:val="24"/>
                <w:szCs w:val="24"/>
                <w:lang w:val="en"/>
              </w:rPr>
              <w:t>4. Service Delivery</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_Toc3205986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4</w:t>
            </w:r>
            <w:r w:rsidR="005C5DE8" w:rsidRPr="005C5DE8">
              <w:rPr>
                <w:rFonts w:ascii="Arial" w:hAnsi="Arial" w:cs="Arial"/>
                <w:noProof/>
                <w:webHidden/>
                <w:sz w:val="24"/>
                <w:szCs w:val="24"/>
              </w:rPr>
              <w:fldChar w:fldCharType="end"/>
            </w:r>
          </w:hyperlink>
        </w:p>
        <w:p w14:paraId="69A5A0EC" w14:textId="447B0541"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7" w:history="1">
            <w:r w:rsidR="005C5DE8" w:rsidRPr="005C5DE8">
              <w:rPr>
                <w:rStyle w:val="Hyperlink"/>
                <w:rFonts w:ascii="Arial" w:eastAsia="Calibri" w:hAnsi="Arial" w:cs="Arial"/>
                <w:noProof/>
                <w:sz w:val="24"/>
                <w:szCs w:val="24"/>
                <w:lang w:val="en"/>
              </w:rPr>
              <w:t>5. Product sales:</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_Toc3205987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5</w:t>
            </w:r>
            <w:r w:rsidR="005C5DE8" w:rsidRPr="005C5DE8">
              <w:rPr>
                <w:rFonts w:ascii="Arial" w:hAnsi="Arial" w:cs="Arial"/>
                <w:noProof/>
                <w:webHidden/>
                <w:sz w:val="24"/>
                <w:szCs w:val="24"/>
              </w:rPr>
              <w:fldChar w:fldCharType="end"/>
            </w:r>
          </w:hyperlink>
        </w:p>
        <w:p w14:paraId="121B649D" w14:textId="4A1F4DDD"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8" w:history="1">
            <w:r w:rsidR="005C5DE8" w:rsidRPr="005C5DE8">
              <w:rPr>
                <w:rStyle w:val="Hyperlink"/>
                <w:rFonts w:ascii="Arial" w:eastAsia="Calibri" w:hAnsi="Arial" w:cs="Arial"/>
                <w:noProof/>
                <w:sz w:val="24"/>
                <w:szCs w:val="24"/>
                <w:lang w:val="en"/>
              </w:rPr>
              <w:t>6. Communications and access to information</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_Toc3205988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5</w:t>
            </w:r>
            <w:r w:rsidR="005C5DE8" w:rsidRPr="005C5DE8">
              <w:rPr>
                <w:rFonts w:ascii="Arial" w:hAnsi="Arial" w:cs="Arial"/>
                <w:noProof/>
                <w:webHidden/>
                <w:sz w:val="24"/>
                <w:szCs w:val="24"/>
              </w:rPr>
              <w:fldChar w:fldCharType="end"/>
            </w:r>
          </w:hyperlink>
        </w:p>
        <w:p w14:paraId="3FEF9D92" w14:textId="3D81521F"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89" w:history="1">
            <w:r w:rsidR="005C5DE8" w:rsidRPr="005C5DE8">
              <w:rPr>
                <w:rStyle w:val="Hyperlink"/>
                <w:rFonts w:ascii="Arial" w:eastAsia="Calibri" w:hAnsi="Arial" w:cs="Arial"/>
                <w:noProof/>
                <w:sz w:val="24"/>
                <w:szCs w:val="24"/>
                <w:lang w:val="en"/>
              </w:rPr>
              <w:t>7. Complaints procedures</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_Toc3205989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6</w:t>
            </w:r>
            <w:r w:rsidR="005C5DE8" w:rsidRPr="005C5DE8">
              <w:rPr>
                <w:rFonts w:ascii="Arial" w:hAnsi="Arial" w:cs="Arial"/>
                <w:noProof/>
                <w:webHidden/>
                <w:sz w:val="24"/>
                <w:szCs w:val="24"/>
              </w:rPr>
              <w:fldChar w:fldCharType="end"/>
            </w:r>
          </w:hyperlink>
        </w:p>
        <w:p w14:paraId="667CCF44" w14:textId="33BC8A9D"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90" w:history="1">
            <w:r w:rsidR="005C5DE8" w:rsidRPr="005C5DE8">
              <w:rPr>
                <w:rStyle w:val="Hyperlink"/>
                <w:rFonts w:ascii="Arial" w:eastAsia="Calibri" w:hAnsi="Arial" w:cs="Arial"/>
                <w:noProof/>
                <w:sz w:val="24"/>
                <w:szCs w:val="24"/>
                <w:lang w:val="en"/>
              </w:rPr>
              <w:t>8. Fundraising, Marketing and Publicity</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_Toc3205990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6</w:t>
            </w:r>
            <w:r w:rsidR="005C5DE8" w:rsidRPr="005C5DE8">
              <w:rPr>
                <w:rFonts w:ascii="Arial" w:hAnsi="Arial" w:cs="Arial"/>
                <w:noProof/>
                <w:webHidden/>
                <w:sz w:val="24"/>
                <w:szCs w:val="24"/>
              </w:rPr>
              <w:fldChar w:fldCharType="end"/>
            </w:r>
          </w:hyperlink>
        </w:p>
        <w:p w14:paraId="5D284CC0" w14:textId="3CA71639"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91" w:history="1">
            <w:r w:rsidR="005C5DE8" w:rsidRPr="005C5DE8">
              <w:rPr>
                <w:rStyle w:val="Hyperlink"/>
                <w:rFonts w:ascii="Arial" w:eastAsia="Calibri" w:hAnsi="Arial" w:cs="Arial"/>
                <w:noProof/>
                <w:sz w:val="24"/>
                <w:szCs w:val="24"/>
                <w:lang w:val="en-US"/>
              </w:rPr>
              <w:t>9. Employing people who are blind or vision impaired</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_Toc3205991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7</w:t>
            </w:r>
            <w:r w:rsidR="005C5DE8" w:rsidRPr="005C5DE8">
              <w:rPr>
                <w:rFonts w:ascii="Arial" w:hAnsi="Arial" w:cs="Arial"/>
                <w:noProof/>
                <w:webHidden/>
                <w:sz w:val="24"/>
                <w:szCs w:val="24"/>
              </w:rPr>
              <w:fldChar w:fldCharType="end"/>
            </w:r>
          </w:hyperlink>
        </w:p>
        <w:p w14:paraId="6E1554EA" w14:textId="44D5D6A1"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92" w:history="1">
            <w:r w:rsidR="005C5DE8" w:rsidRPr="005C5DE8">
              <w:rPr>
                <w:rStyle w:val="Hyperlink"/>
                <w:rFonts w:ascii="Arial" w:eastAsia="Calibri" w:hAnsi="Arial" w:cs="Arial"/>
                <w:noProof/>
                <w:sz w:val="24"/>
                <w:szCs w:val="24"/>
                <w:lang w:val="en-US"/>
              </w:rPr>
              <w:t>10. Governance and leadership</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_Toc3205992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8</w:t>
            </w:r>
            <w:r w:rsidR="005C5DE8" w:rsidRPr="005C5DE8">
              <w:rPr>
                <w:rFonts w:ascii="Arial" w:hAnsi="Arial" w:cs="Arial"/>
                <w:noProof/>
                <w:webHidden/>
                <w:sz w:val="24"/>
                <w:szCs w:val="24"/>
              </w:rPr>
              <w:fldChar w:fldCharType="end"/>
            </w:r>
          </w:hyperlink>
        </w:p>
        <w:p w14:paraId="436775D1" w14:textId="0CE81DE1" w:rsidR="005C5DE8" w:rsidRPr="005C5DE8" w:rsidRDefault="00BD2E6E">
          <w:pPr>
            <w:pStyle w:val="TOC2"/>
            <w:tabs>
              <w:tab w:val="right" w:leader="dot" w:pos="9016"/>
            </w:tabs>
            <w:rPr>
              <w:rFonts w:ascii="Arial" w:eastAsiaTheme="minorEastAsia" w:hAnsi="Arial" w:cs="Arial"/>
              <w:noProof/>
              <w:sz w:val="24"/>
              <w:szCs w:val="24"/>
              <w:lang w:eastAsia="en-AU"/>
            </w:rPr>
          </w:pPr>
          <w:hyperlink w:anchor="_Toc3205993" w:history="1">
            <w:r w:rsidR="005C5DE8" w:rsidRPr="005C5DE8">
              <w:rPr>
                <w:rStyle w:val="Hyperlink"/>
                <w:rFonts w:ascii="Arial" w:eastAsia="Calibri" w:hAnsi="Arial" w:cs="Arial"/>
                <w:noProof/>
                <w:sz w:val="24"/>
                <w:szCs w:val="24"/>
                <w:lang w:val="en-US"/>
              </w:rPr>
              <w:t>11. Service user representation and advisory bodies</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_Toc3205993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8</w:t>
            </w:r>
            <w:r w:rsidR="005C5DE8" w:rsidRPr="005C5DE8">
              <w:rPr>
                <w:rFonts w:ascii="Arial" w:hAnsi="Arial" w:cs="Arial"/>
                <w:noProof/>
                <w:webHidden/>
                <w:sz w:val="24"/>
                <w:szCs w:val="24"/>
              </w:rPr>
              <w:fldChar w:fldCharType="end"/>
            </w:r>
          </w:hyperlink>
        </w:p>
        <w:p w14:paraId="731FA079" w14:textId="70033F04" w:rsidR="005C5DE8" w:rsidRPr="005C5DE8" w:rsidRDefault="00BD2E6E">
          <w:pPr>
            <w:pStyle w:val="TOC1"/>
            <w:tabs>
              <w:tab w:val="right" w:leader="dot" w:pos="9016"/>
            </w:tabs>
            <w:rPr>
              <w:rFonts w:ascii="Arial" w:eastAsiaTheme="minorEastAsia" w:hAnsi="Arial" w:cs="Arial"/>
              <w:noProof/>
              <w:sz w:val="24"/>
              <w:szCs w:val="24"/>
              <w:lang w:eastAsia="en-AU"/>
            </w:rPr>
          </w:pPr>
          <w:hyperlink w:anchor="_Toc3205994" w:history="1">
            <w:r w:rsidR="005C5DE8" w:rsidRPr="005C5DE8">
              <w:rPr>
                <w:rStyle w:val="Hyperlink"/>
                <w:rFonts w:ascii="Arial" w:hAnsi="Arial" w:cs="Arial"/>
                <w:noProof/>
                <w:sz w:val="24"/>
                <w:szCs w:val="24"/>
              </w:rPr>
              <w:t>12. How this policy should be used</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_Toc3205994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9</w:t>
            </w:r>
            <w:r w:rsidR="005C5DE8" w:rsidRPr="005C5DE8">
              <w:rPr>
                <w:rFonts w:ascii="Arial" w:hAnsi="Arial" w:cs="Arial"/>
                <w:noProof/>
                <w:webHidden/>
                <w:sz w:val="24"/>
                <w:szCs w:val="24"/>
              </w:rPr>
              <w:fldChar w:fldCharType="end"/>
            </w:r>
          </w:hyperlink>
        </w:p>
        <w:p w14:paraId="60C85875" w14:textId="066AD4EF" w:rsidR="004F0317" w:rsidRPr="005C5DE8" w:rsidRDefault="00BD2E6E" w:rsidP="005C5DE8">
          <w:pPr>
            <w:pStyle w:val="TOC1"/>
            <w:tabs>
              <w:tab w:val="right" w:leader="dot" w:pos="9016"/>
            </w:tabs>
            <w:rPr>
              <w:rFonts w:ascii="Arial" w:hAnsi="Arial" w:cs="Arial"/>
              <w:b/>
              <w:bCs/>
              <w:noProof/>
              <w:sz w:val="24"/>
              <w:szCs w:val="24"/>
            </w:rPr>
          </w:pPr>
          <w:hyperlink w:anchor="_Toc3205995" w:history="1">
            <w:r w:rsidR="005C5DE8" w:rsidRPr="005C5DE8">
              <w:rPr>
                <w:rStyle w:val="Hyperlink"/>
                <w:rFonts w:ascii="Arial" w:hAnsi="Arial" w:cs="Arial"/>
                <w:noProof/>
                <w:sz w:val="24"/>
                <w:szCs w:val="24"/>
              </w:rPr>
              <w:t>13. Glossary of key terms</w:t>
            </w:r>
            <w:r w:rsidR="005C5DE8" w:rsidRPr="005C5DE8">
              <w:rPr>
                <w:rFonts w:ascii="Arial" w:hAnsi="Arial" w:cs="Arial"/>
                <w:noProof/>
                <w:webHidden/>
                <w:sz w:val="24"/>
                <w:szCs w:val="24"/>
              </w:rPr>
              <w:tab/>
            </w:r>
            <w:r w:rsidR="005C5DE8" w:rsidRPr="005C5DE8">
              <w:rPr>
                <w:rFonts w:ascii="Arial" w:hAnsi="Arial" w:cs="Arial"/>
                <w:noProof/>
                <w:webHidden/>
                <w:sz w:val="24"/>
                <w:szCs w:val="24"/>
              </w:rPr>
              <w:fldChar w:fldCharType="begin"/>
            </w:r>
            <w:r w:rsidR="005C5DE8" w:rsidRPr="005C5DE8">
              <w:rPr>
                <w:rFonts w:ascii="Arial" w:hAnsi="Arial" w:cs="Arial"/>
                <w:noProof/>
                <w:webHidden/>
                <w:sz w:val="24"/>
                <w:szCs w:val="24"/>
              </w:rPr>
              <w:instrText xml:space="preserve"> PAGEREF _Toc3205995 \h </w:instrText>
            </w:r>
            <w:r w:rsidR="005C5DE8" w:rsidRPr="005C5DE8">
              <w:rPr>
                <w:rFonts w:ascii="Arial" w:hAnsi="Arial" w:cs="Arial"/>
                <w:noProof/>
                <w:webHidden/>
                <w:sz w:val="24"/>
                <w:szCs w:val="24"/>
              </w:rPr>
            </w:r>
            <w:r w:rsidR="005C5DE8" w:rsidRPr="005C5DE8">
              <w:rPr>
                <w:rFonts w:ascii="Arial" w:hAnsi="Arial" w:cs="Arial"/>
                <w:noProof/>
                <w:webHidden/>
                <w:sz w:val="24"/>
                <w:szCs w:val="24"/>
              </w:rPr>
              <w:fldChar w:fldCharType="separate"/>
            </w:r>
            <w:r w:rsidR="005C5DE8" w:rsidRPr="005C5DE8">
              <w:rPr>
                <w:rFonts w:ascii="Arial" w:hAnsi="Arial" w:cs="Arial"/>
                <w:noProof/>
                <w:webHidden/>
                <w:sz w:val="24"/>
                <w:szCs w:val="24"/>
              </w:rPr>
              <w:t>9</w:t>
            </w:r>
            <w:r w:rsidR="005C5DE8" w:rsidRPr="005C5DE8">
              <w:rPr>
                <w:rFonts w:ascii="Arial" w:hAnsi="Arial" w:cs="Arial"/>
                <w:noProof/>
                <w:webHidden/>
                <w:sz w:val="24"/>
                <w:szCs w:val="24"/>
              </w:rPr>
              <w:fldChar w:fldCharType="end"/>
            </w:r>
          </w:hyperlink>
          <w:r w:rsidR="005E4657" w:rsidRPr="005C5DE8">
            <w:rPr>
              <w:rFonts w:ascii="Arial" w:hAnsi="Arial" w:cs="Arial"/>
              <w:b/>
              <w:bCs/>
              <w:noProof/>
              <w:sz w:val="24"/>
              <w:szCs w:val="24"/>
            </w:rPr>
            <w:fldChar w:fldCharType="end"/>
          </w:r>
        </w:p>
      </w:sdtContent>
    </w:sdt>
    <w:p w14:paraId="48E13EBA" w14:textId="1DE60C32" w:rsidR="004F0317" w:rsidRPr="005C5DE8" w:rsidRDefault="00927292" w:rsidP="005C5DE8">
      <w:pPr>
        <w:pStyle w:val="Heading2"/>
        <w:rPr>
          <w:rFonts w:eastAsia="Calibri"/>
          <w:sz w:val="24"/>
          <w:lang w:val="en-US"/>
        </w:rPr>
      </w:pPr>
      <w:bookmarkStart w:id="2" w:name="_Toc3205980"/>
      <w:r w:rsidRPr="002B4AB0">
        <w:rPr>
          <w:rFonts w:eastAsia="Calibri"/>
          <w:lang w:val="en-US"/>
        </w:rPr>
        <w:lastRenderedPageBreak/>
        <w:t>About Blind Citizens Australia</w:t>
      </w:r>
      <w:bookmarkEnd w:id="2"/>
    </w:p>
    <w:p w14:paraId="2E4EBEB7" w14:textId="6D3EFBD4" w:rsidR="00927292" w:rsidRPr="002B4AB0"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 xml:space="preserve">Blind Citizens Australia is the peak national representative </w:t>
      </w:r>
      <w:proofErr w:type="spellStart"/>
      <w:r w:rsidRPr="002B4AB0">
        <w:rPr>
          <w:rFonts w:ascii="Arial" w:eastAsia="Calibri" w:hAnsi="Arial" w:cs="Times New Roman"/>
          <w:sz w:val="24"/>
          <w:lang w:val="en-US"/>
        </w:rPr>
        <w:t>organisation</w:t>
      </w:r>
      <w:proofErr w:type="spellEnd"/>
      <w:r w:rsidRPr="002B4AB0">
        <w:rPr>
          <w:rFonts w:ascii="Arial" w:eastAsia="Calibri" w:hAnsi="Arial" w:cs="Times New Roman"/>
          <w:sz w:val="24"/>
          <w:lang w:val="en-US"/>
        </w:rPr>
        <w:t xml:space="preserve"> of and for Australians who are blind or vision impaired. Our mission is to achieve equity and equality by our empowerment, by promoting positive community attitudes and by striving for high quali</w:t>
      </w:r>
      <w:r w:rsidR="002046F5">
        <w:rPr>
          <w:rFonts w:ascii="Arial" w:eastAsia="Calibri" w:hAnsi="Arial" w:cs="Times New Roman"/>
          <w:sz w:val="24"/>
          <w:lang w:val="en-US"/>
        </w:rPr>
        <w:t>ty and accessible services which</w:t>
      </w:r>
      <w:r w:rsidRPr="002B4AB0">
        <w:rPr>
          <w:rFonts w:ascii="Arial" w:eastAsia="Calibri" w:hAnsi="Arial" w:cs="Times New Roman"/>
          <w:sz w:val="24"/>
          <w:lang w:val="en-US"/>
        </w:rPr>
        <w:t xml:space="preserve"> meet our needs. </w:t>
      </w:r>
    </w:p>
    <w:p w14:paraId="1DF73ED6" w14:textId="77777777" w:rsidR="00927292" w:rsidRPr="002B4AB0" w:rsidRDefault="00927292" w:rsidP="00927292">
      <w:pPr>
        <w:spacing w:after="0" w:line="240" w:lineRule="auto"/>
        <w:rPr>
          <w:rFonts w:ascii="Arial" w:eastAsia="Calibri" w:hAnsi="Arial" w:cs="Times New Roman"/>
          <w:sz w:val="24"/>
          <w:lang w:val="en-US"/>
        </w:rPr>
      </w:pPr>
    </w:p>
    <w:p w14:paraId="31324EBE" w14:textId="77777777" w:rsidR="00927292" w:rsidRPr="002B4AB0"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 xml:space="preserve">We provide peer support and individual advocacy to people who are </w:t>
      </w:r>
      <w:proofErr w:type="gramStart"/>
      <w:r w:rsidRPr="002B4AB0">
        <w:rPr>
          <w:rFonts w:ascii="Arial" w:eastAsia="Calibri" w:hAnsi="Arial" w:cs="Times New Roman"/>
          <w:sz w:val="24"/>
          <w:lang w:val="en-US"/>
        </w:rPr>
        <w:t>blind</w:t>
      </w:r>
      <w:proofErr w:type="gramEnd"/>
      <w:r w:rsidRPr="002B4AB0">
        <w:rPr>
          <w:rFonts w:ascii="Arial" w:eastAsia="Calibri" w:hAnsi="Arial" w:cs="Times New Roman"/>
          <w:sz w:val="24"/>
          <w:lang w:val="en-US"/>
        </w:rPr>
        <w:t xml:space="preserve">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72038EEF" w14:textId="77777777" w:rsidR="00927292" w:rsidRPr="002B4AB0" w:rsidRDefault="00927292" w:rsidP="00927292">
      <w:pPr>
        <w:spacing w:after="0" w:line="240" w:lineRule="auto"/>
        <w:rPr>
          <w:rFonts w:ascii="Arial" w:eastAsia="Calibri" w:hAnsi="Arial" w:cs="Times New Roman"/>
          <w:sz w:val="24"/>
          <w:lang w:val="en-US"/>
        </w:rPr>
      </w:pPr>
    </w:p>
    <w:p w14:paraId="0D8F64B5" w14:textId="791A1CA2" w:rsidR="00927292" w:rsidRPr="002B4AB0"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 xml:space="preserve">As </w:t>
      </w:r>
      <w:r w:rsidR="00EB1A6D">
        <w:rPr>
          <w:rFonts w:ascii="Arial" w:eastAsia="Calibri" w:hAnsi="Arial" w:cs="Times New Roman"/>
          <w:sz w:val="24"/>
          <w:lang w:val="en-US"/>
        </w:rPr>
        <w:t xml:space="preserve">a consumer-based </w:t>
      </w:r>
      <w:proofErr w:type="spellStart"/>
      <w:r w:rsidR="00EB1A6D">
        <w:rPr>
          <w:rFonts w:ascii="Arial" w:eastAsia="Calibri" w:hAnsi="Arial" w:cs="Times New Roman"/>
          <w:sz w:val="24"/>
          <w:lang w:val="en-US"/>
        </w:rPr>
        <w:t>organisation</w:t>
      </w:r>
      <w:proofErr w:type="spellEnd"/>
      <w:r w:rsidR="00EB1A6D">
        <w:rPr>
          <w:rFonts w:ascii="Arial" w:eastAsia="Calibri" w:hAnsi="Arial" w:cs="Times New Roman"/>
          <w:sz w:val="24"/>
          <w:lang w:val="en-US"/>
        </w:rPr>
        <w:t>, o</w:t>
      </w:r>
      <w:r w:rsidRPr="002B4AB0">
        <w:rPr>
          <w:rFonts w:ascii="Arial" w:eastAsia="Calibri" w:hAnsi="Arial" w:cs="Times New Roman"/>
          <w:sz w:val="24"/>
          <w:lang w:val="en-US"/>
        </w:rPr>
        <w:t>ur work is directly informed by lived experience of blindness and vision impairment. Our membe</w:t>
      </w:r>
      <w:r w:rsidR="004F0317">
        <w:rPr>
          <w:rFonts w:ascii="Arial" w:eastAsia="Calibri" w:hAnsi="Arial" w:cs="Times New Roman"/>
          <w:sz w:val="24"/>
          <w:lang w:val="en-US"/>
        </w:rPr>
        <w:t>rs, our d</w:t>
      </w:r>
      <w:r w:rsidRPr="002B4AB0">
        <w:rPr>
          <w:rFonts w:ascii="Arial" w:eastAsia="Calibri" w:hAnsi="Arial" w:cs="Times New Roman"/>
          <w:sz w:val="24"/>
          <w:lang w:val="en-US"/>
        </w:rPr>
        <w:t>irectors and the majority of our staff are blind or vision impaired.</w:t>
      </w:r>
    </w:p>
    <w:p w14:paraId="21B82237" w14:textId="5A9FD685" w:rsidR="00E64A07" w:rsidRPr="002B4AB0" w:rsidRDefault="00E64A07" w:rsidP="00FC5DAF">
      <w:pPr>
        <w:spacing w:after="0" w:line="240" w:lineRule="auto"/>
        <w:rPr>
          <w:rFonts w:ascii="Arial" w:eastAsia="Calibri" w:hAnsi="Arial" w:cs="Times New Roman"/>
          <w:sz w:val="24"/>
          <w:lang w:val="en-US"/>
        </w:rPr>
      </w:pPr>
    </w:p>
    <w:p w14:paraId="22980938" w14:textId="65F62375" w:rsidR="004F0317" w:rsidRPr="005C5DE8" w:rsidRDefault="00FC5DAF" w:rsidP="005C5DE8">
      <w:pPr>
        <w:pStyle w:val="Heading2"/>
        <w:rPr>
          <w:rFonts w:eastAsia="Calibri"/>
          <w:lang w:val="en-US"/>
        </w:rPr>
      </w:pPr>
      <w:bookmarkStart w:id="3" w:name="_Toc3205981"/>
      <w:r w:rsidRPr="002B4AB0">
        <w:rPr>
          <w:rFonts w:eastAsia="Calibri"/>
          <w:lang w:val="en-US"/>
        </w:rPr>
        <w:t>About Australians who are blind or vision impaired</w:t>
      </w:r>
      <w:bookmarkEnd w:id="3"/>
    </w:p>
    <w:p w14:paraId="72FA9F6A" w14:textId="778ACAEE" w:rsidR="00927292"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Th</w:t>
      </w:r>
      <w:r w:rsidR="006C7E4C">
        <w:rPr>
          <w:rFonts w:ascii="Arial" w:eastAsia="Calibri" w:hAnsi="Arial" w:cs="Times New Roman"/>
          <w:sz w:val="24"/>
          <w:lang w:val="en-US"/>
        </w:rPr>
        <w:t>ere are currently more than 4</w:t>
      </w:r>
      <w:r w:rsidR="00EB1A6D">
        <w:rPr>
          <w:rFonts w:ascii="Arial" w:eastAsia="Calibri" w:hAnsi="Arial" w:cs="Times New Roman"/>
          <w:sz w:val="24"/>
          <w:lang w:val="en-US"/>
        </w:rPr>
        <w:t>50,</w:t>
      </w:r>
      <w:r w:rsidRPr="002B4AB0">
        <w:rPr>
          <w:rFonts w:ascii="Arial" w:eastAsia="Calibri" w:hAnsi="Arial" w:cs="Times New Roman"/>
          <w:sz w:val="24"/>
          <w:lang w:val="en-US"/>
        </w:rPr>
        <w:t xml:space="preserve">000 people who are </w:t>
      </w:r>
      <w:proofErr w:type="gramStart"/>
      <w:r w:rsidRPr="002B4AB0">
        <w:rPr>
          <w:rFonts w:ascii="Arial" w:eastAsia="Calibri" w:hAnsi="Arial" w:cs="Times New Roman"/>
          <w:sz w:val="24"/>
          <w:lang w:val="en-US"/>
        </w:rPr>
        <w:t>blind</w:t>
      </w:r>
      <w:proofErr w:type="gramEnd"/>
      <w:r w:rsidRPr="002B4AB0">
        <w:rPr>
          <w:rFonts w:ascii="Arial" w:eastAsia="Calibri" w:hAnsi="Arial" w:cs="Times New Roman"/>
          <w:sz w:val="24"/>
          <w:lang w:val="en-US"/>
        </w:rPr>
        <w:t xml:space="preserve"> or vision impaired in Australia. According to Vision 2020 Australia, around 80% of vision loss in Australia is caused by conditions that become more common as people age.  This raises a number of implications for Australia’s aging population, with one in every four Australians projected to be 65 years of age or older by the year 2056.</w:t>
      </w:r>
    </w:p>
    <w:p w14:paraId="196D4929" w14:textId="43A182F1" w:rsidR="00CA3A1A" w:rsidRDefault="00CA3A1A" w:rsidP="00927292">
      <w:pPr>
        <w:spacing w:after="0" w:line="240" w:lineRule="auto"/>
        <w:rPr>
          <w:rFonts w:ascii="Arial" w:eastAsia="Calibri" w:hAnsi="Arial" w:cs="Times New Roman"/>
          <w:sz w:val="24"/>
          <w:lang w:val="en-US"/>
        </w:rPr>
      </w:pPr>
    </w:p>
    <w:p w14:paraId="262925A1" w14:textId="675CD398" w:rsidR="00CA3A1A" w:rsidRPr="002B4AB0" w:rsidRDefault="00CA3A1A" w:rsidP="00927292">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Eye conditions that cause vision impairment for Australians </w:t>
      </w:r>
      <w:proofErr w:type="gramStart"/>
      <w:r>
        <w:rPr>
          <w:rFonts w:ascii="Arial" w:eastAsia="Calibri" w:hAnsi="Arial" w:cs="Times New Roman"/>
          <w:sz w:val="24"/>
          <w:lang w:val="en-US"/>
        </w:rPr>
        <w:t>include:</w:t>
      </w:r>
      <w:proofErr w:type="gramEnd"/>
      <w:r>
        <w:rPr>
          <w:rFonts w:ascii="Arial" w:eastAsia="Calibri" w:hAnsi="Arial" w:cs="Times New Roman"/>
          <w:sz w:val="24"/>
          <w:lang w:val="en-US"/>
        </w:rPr>
        <w:t xml:space="preserve"> age-related macular degeneration, cataract, diabetic retinopathy, glaucoma and uncorrected refractive error.</w:t>
      </w:r>
    </w:p>
    <w:p w14:paraId="13C2A02B" w14:textId="77777777" w:rsidR="00927292" w:rsidRPr="002B4AB0" w:rsidRDefault="00927292" w:rsidP="00927292">
      <w:pPr>
        <w:spacing w:after="0" w:line="240" w:lineRule="auto"/>
        <w:rPr>
          <w:rFonts w:ascii="Arial" w:eastAsia="Calibri" w:hAnsi="Arial" w:cs="Times New Roman"/>
          <w:sz w:val="24"/>
          <w:lang w:val="en-US"/>
        </w:rPr>
      </w:pPr>
    </w:p>
    <w:p w14:paraId="261D65FB" w14:textId="5542400C" w:rsidR="00927292" w:rsidRPr="002B4AB0" w:rsidRDefault="00927292" w:rsidP="00927292">
      <w:pPr>
        <w:spacing w:after="0" w:line="240" w:lineRule="auto"/>
        <w:rPr>
          <w:rFonts w:ascii="Arial" w:eastAsia="Calibri" w:hAnsi="Arial" w:cs="Times New Roman"/>
          <w:sz w:val="24"/>
          <w:lang w:val="en-US"/>
        </w:rPr>
      </w:pPr>
      <w:r w:rsidRPr="002B4AB0">
        <w:rPr>
          <w:rFonts w:ascii="Arial" w:eastAsia="Calibri" w:hAnsi="Arial" w:cs="Times New Roman"/>
          <w:sz w:val="24"/>
          <w:lang w:val="en-US"/>
        </w:rPr>
        <w:t>Australians who are blind or vision impaired can live rich and active lives and make meaningful con</w:t>
      </w:r>
      <w:r w:rsidR="005914D5">
        <w:rPr>
          <w:rFonts w:ascii="Arial" w:eastAsia="Calibri" w:hAnsi="Arial" w:cs="Times New Roman"/>
          <w:sz w:val="24"/>
          <w:lang w:val="en-US"/>
        </w:rPr>
        <w:t>tributions to their communities:</w:t>
      </w:r>
      <w:r w:rsidRPr="002B4AB0">
        <w:rPr>
          <w:rFonts w:ascii="Arial" w:eastAsia="Calibri" w:hAnsi="Arial" w:cs="Times New Roman"/>
          <w:sz w:val="24"/>
          <w:lang w:val="en-US"/>
        </w:rPr>
        <w:t xml:space="preserve">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way that makes them inclusive to the needs of all citizens – including those who are blind or vision impaired.</w:t>
      </w:r>
    </w:p>
    <w:p w14:paraId="70C7387E" w14:textId="2302BBFA" w:rsidR="00927292" w:rsidRPr="002B4AB0" w:rsidRDefault="009F2DF4" w:rsidP="005C5DE8">
      <w:pPr>
        <w:pStyle w:val="Heading1"/>
        <w:keepNext/>
        <w:keepLines/>
        <w:spacing w:before="360"/>
        <w:ind w:left="851" w:hanging="851"/>
        <w:jc w:val="left"/>
        <w:rPr>
          <w:rFonts w:eastAsia="Calibri"/>
          <w:sz w:val="24"/>
          <w:lang w:val="en-US"/>
        </w:rPr>
      </w:pPr>
      <w:bookmarkStart w:id="4" w:name="_Toc3205982"/>
      <w:r w:rsidRPr="009F2DF4">
        <w:rPr>
          <w:bCs w:val="0"/>
          <w:kern w:val="0"/>
          <w:sz w:val="28"/>
          <w:szCs w:val="28"/>
        </w:rPr>
        <w:t>1.</w:t>
      </w:r>
      <w:r>
        <w:rPr>
          <w:kern w:val="0"/>
          <w:sz w:val="28"/>
          <w:szCs w:val="28"/>
        </w:rPr>
        <w:t xml:space="preserve"> </w:t>
      </w:r>
      <w:r w:rsidR="00927292" w:rsidRPr="002B4AB0">
        <w:rPr>
          <w:kern w:val="0"/>
          <w:sz w:val="28"/>
          <w:szCs w:val="28"/>
        </w:rPr>
        <w:t>Purpose of this policy</w:t>
      </w:r>
      <w:bookmarkEnd w:id="4"/>
    </w:p>
    <w:p w14:paraId="1FAF134C" w14:textId="3C3F711E" w:rsidR="005106DF" w:rsidRPr="005106DF" w:rsidRDefault="005106DF" w:rsidP="005106DF">
      <w:pPr>
        <w:spacing w:after="0" w:line="240" w:lineRule="auto"/>
        <w:rPr>
          <w:rFonts w:ascii="Arial" w:eastAsia="Calibri" w:hAnsi="Arial" w:cs="Times New Roman"/>
          <w:sz w:val="24"/>
          <w:lang w:val="en"/>
        </w:rPr>
      </w:pPr>
      <w:r w:rsidRPr="005106DF">
        <w:rPr>
          <w:rFonts w:ascii="Arial" w:eastAsia="Calibri" w:hAnsi="Arial" w:cs="Times New Roman"/>
          <w:sz w:val="24"/>
          <w:lang w:val="en"/>
        </w:rPr>
        <w:t xml:space="preserve">Providers of </w:t>
      </w:r>
      <w:proofErr w:type="spellStart"/>
      <w:r w:rsidRPr="005106DF">
        <w:rPr>
          <w:rFonts w:ascii="Arial" w:eastAsia="Calibri" w:hAnsi="Arial" w:cs="Times New Roman"/>
          <w:sz w:val="24"/>
          <w:lang w:val="en"/>
        </w:rPr>
        <w:t>specialised</w:t>
      </w:r>
      <w:proofErr w:type="spellEnd"/>
      <w:r w:rsidRPr="005106DF">
        <w:rPr>
          <w:rFonts w:ascii="Arial" w:eastAsia="Calibri" w:hAnsi="Arial" w:cs="Times New Roman"/>
          <w:sz w:val="24"/>
          <w:lang w:val="en"/>
        </w:rPr>
        <w:t xml:space="preserve"> services for people who are blind or vision impaired play an integral role in the skill development, independence, community participation and safety of blind and vision impaired Australians</w:t>
      </w:r>
      <w:r w:rsidR="00D22F25">
        <w:rPr>
          <w:rFonts w:ascii="Arial" w:eastAsia="Calibri" w:hAnsi="Arial" w:cs="Times New Roman"/>
          <w:sz w:val="24"/>
          <w:lang w:val="en"/>
        </w:rPr>
        <w:t>.</w:t>
      </w:r>
      <w:r w:rsidRPr="005106DF">
        <w:rPr>
          <w:rFonts w:ascii="Arial" w:eastAsia="Calibri" w:hAnsi="Arial" w:cs="Times New Roman"/>
          <w:sz w:val="24"/>
          <w:lang w:val="en"/>
        </w:rPr>
        <w:t xml:space="preserve"> </w:t>
      </w:r>
    </w:p>
    <w:p w14:paraId="1A83FE2A" w14:textId="4901D6BD" w:rsidR="005106DF" w:rsidRPr="005106DF" w:rsidRDefault="005106DF" w:rsidP="005106DF">
      <w:pPr>
        <w:spacing w:after="0" w:line="240" w:lineRule="auto"/>
        <w:rPr>
          <w:rFonts w:ascii="Arial" w:eastAsia="Calibri" w:hAnsi="Arial" w:cs="Times New Roman"/>
          <w:sz w:val="24"/>
          <w:lang w:val="en"/>
        </w:rPr>
      </w:pPr>
      <w:r w:rsidRPr="005106DF">
        <w:rPr>
          <w:rFonts w:ascii="Arial" w:eastAsia="Calibri" w:hAnsi="Arial" w:cs="Times New Roman"/>
          <w:sz w:val="24"/>
          <w:lang w:val="en"/>
        </w:rPr>
        <w:t>BCA’s mission statement calls for “high qual</w:t>
      </w:r>
      <w:r w:rsidR="002046F5">
        <w:rPr>
          <w:rFonts w:ascii="Arial" w:eastAsia="Calibri" w:hAnsi="Arial" w:cs="Times New Roman"/>
          <w:sz w:val="24"/>
          <w:lang w:val="en"/>
        </w:rPr>
        <w:t>ity and accessible services which</w:t>
      </w:r>
      <w:r w:rsidRPr="005106DF">
        <w:rPr>
          <w:rFonts w:ascii="Arial" w:eastAsia="Calibri" w:hAnsi="Arial" w:cs="Times New Roman"/>
          <w:sz w:val="24"/>
          <w:lang w:val="en"/>
        </w:rPr>
        <w:t xml:space="preserve"> meet our needs”. With new legislative and funding frameworks for service provision, Australians have more choice and control over the disability-related services we access than ever before. </w:t>
      </w:r>
    </w:p>
    <w:p w14:paraId="54BA4389" w14:textId="77777777" w:rsidR="005106DF" w:rsidRPr="005106DF" w:rsidRDefault="005106DF" w:rsidP="005106DF">
      <w:pPr>
        <w:spacing w:after="0" w:line="240" w:lineRule="auto"/>
        <w:rPr>
          <w:rFonts w:ascii="Arial" w:eastAsia="Calibri" w:hAnsi="Arial" w:cs="Times New Roman"/>
          <w:sz w:val="24"/>
          <w:lang w:val="en"/>
        </w:rPr>
      </w:pPr>
    </w:p>
    <w:p w14:paraId="08BDB40B" w14:textId="77777777" w:rsidR="005106DF" w:rsidRPr="005106DF" w:rsidRDefault="005106DF" w:rsidP="005106DF">
      <w:pPr>
        <w:spacing w:after="0" w:line="240" w:lineRule="auto"/>
        <w:rPr>
          <w:rFonts w:ascii="Arial" w:eastAsia="Calibri" w:hAnsi="Arial" w:cs="Times New Roman"/>
          <w:sz w:val="24"/>
          <w:lang w:val="en"/>
        </w:rPr>
      </w:pPr>
      <w:r w:rsidRPr="005106DF">
        <w:rPr>
          <w:rFonts w:ascii="Arial" w:eastAsia="Calibri" w:hAnsi="Arial" w:cs="Times New Roman"/>
          <w:sz w:val="24"/>
          <w:lang w:val="en"/>
        </w:rPr>
        <w:t>BCA believes it is important to have a yardstick which people who are blind or vision impaired can use to measure the quality of services we receive. This policy provides clarity on the views of service users. Blindness service providers can use this policy to measure the quality of the services they offer.</w:t>
      </w:r>
    </w:p>
    <w:p w14:paraId="70B0B23B" w14:textId="77777777" w:rsidR="005106DF" w:rsidRPr="005106DF" w:rsidRDefault="005106DF" w:rsidP="005106DF">
      <w:pPr>
        <w:spacing w:after="0" w:line="240" w:lineRule="auto"/>
        <w:rPr>
          <w:rFonts w:ascii="Arial" w:eastAsia="Calibri" w:hAnsi="Arial" w:cs="Times New Roman"/>
          <w:sz w:val="24"/>
          <w:lang w:val="en"/>
        </w:rPr>
      </w:pPr>
    </w:p>
    <w:p w14:paraId="1D524AF3" w14:textId="268DDAF2" w:rsidR="00927292" w:rsidRDefault="005106DF" w:rsidP="00927292">
      <w:pPr>
        <w:spacing w:after="0" w:line="240" w:lineRule="auto"/>
        <w:rPr>
          <w:rFonts w:ascii="Arial" w:eastAsia="Calibri" w:hAnsi="Arial" w:cs="Times New Roman"/>
          <w:sz w:val="24"/>
          <w:lang w:val="en"/>
        </w:rPr>
      </w:pPr>
      <w:r w:rsidRPr="005106DF">
        <w:rPr>
          <w:rFonts w:ascii="Arial" w:eastAsia="Calibri" w:hAnsi="Arial" w:cs="Times New Roman"/>
          <w:sz w:val="24"/>
          <w:lang w:val="en"/>
        </w:rPr>
        <w:lastRenderedPageBreak/>
        <w:t xml:space="preserve">This policy can be used by individuals receiving or seeking blindness-specific services, wherever they live </w:t>
      </w:r>
      <w:proofErr w:type="gramStart"/>
      <w:r w:rsidRPr="005106DF">
        <w:rPr>
          <w:rFonts w:ascii="Arial" w:eastAsia="Calibri" w:hAnsi="Arial" w:cs="Times New Roman"/>
          <w:sz w:val="24"/>
          <w:lang w:val="en"/>
        </w:rPr>
        <w:t>and in all contexts</w:t>
      </w:r>
      <w:proofErr w:type="gramEnd"/>
      <w:r w:rsidR="0072578B">
        <w:rPr>
          <w:rFonts w:ascii="Arial" w:eastAsia="Calibri" w:hAnsi="Arial" w:cs="Times New Roman"/>
          <w:sz w:val="24"/>
          <w:lang w:val="en"/>
        </w:rPr>
        <w:t>,</w:t>
      </w:r>
      <w:r w:rsidRPr="005106DF">
        <w:rPr>
          <w:rFonts w:ascii="Arial" w:eastAsia="Calibri" w:hAnsi="Arial" w:cs="Times New Roman"/>
          <w:sz w:val="24"/>
          <w:lang w:val="en"/>
        </w:rPr>
        <w:t xml:space="preserve"> and irrespective of which service provider is involved. Implementation of this policy will enable service users to receive a consistent approach to service delivery and to be at the forefront of service provision and </w:t>
      </w:r>
      <w:proofErr w:type="spellStart"/>
      <w:r w:rsidRPr="005106DF">
        <w:rPr>
          <w:rFonts w:ascii="Arial" w:eastAsia="Calibri" w:hAnsi="Arial" w:cs="Times New Roman"/>
          <w:sz w:val="24"/>
          <w:lang w:val="en"/>
        </w:rPr>
        <w:t>o</w:t>
      </w:r>
      <w:r w:rsidR="005B23D5">
        <w:rPr>
          <w:rFonts w:ascii="Arial" w:eastAsia="Calibri" w:hAnsi="Arial" w:cs="Times New Roman"/>
          <w:sz w:val="24"/>
          <w:lang w:val="en"/>
        </w:rPr>
        <w:t>rganisational</w:t>
      </w:r>
      <w:proofErr w:type="spellEnd"/>
      <w:r w:rsidR="005B23D5">
        <w:rPr>
          <w:rFonts w:ascii="Arial" w:eastAsia="Calibri" w:hAnsi="Arial" w:cs="Times New Roman"/>
          <w:sz w:val="24"/>
          <w:lang w:val="en"/>
        </w:rPr>
        <w:t xml:space="preserve"> decision-making.</w:t>
      </w:r>
    </w:p>
    <w:p w14:paraId="44801118" w14:textId="01DD83CE" w:rsidR="005B23D5" w:rsidRDefault="005B23D5" w:rsidP="00927292">
      <w:pPr>
        <w:spacing w:after="0" w:line="240" w:lineRule="auto"/>
        <w:rPr>
          <w:rFonts w:ascii="Arial" w:eastAsia="Calibri" w:hAnsi="Arial" w:cs="Times New Roman"/>
          <w:sz w:val="24"/>
          <w:lang w:val="en"/>
        </w:rPr>
      </w:pPr>
    </w:p>
    <w:p w14:paraId="4A1157E6" w14:textId="059AF23E" w:rsidR="005B23D5" w:rsidRPr="005B23D5" w:rsidRDefault="005B23D5" w:rsidP="005B23D5">
      <w:pPr>
        <w:spacing w:after="0" w:line="240" w:lineRule="auto"/>
        <w:rPr>
          <w:rFonts w:ascii="Arial" w:eastAsia="Calibri" w:hAnsi="Arial" w:cs="Times New Roman"/>
          <w:sz w:val="24"/>
        </w:rPr>
      </w:pPr>
      <w:r w:rsidRPr="005B23D5">
        <w:rPr>
          <w:rFonts w:ascii="Arial" w:eastAsia="Calibri" w:hAnsi="Arial" w:cs="Times New Roman"/>
          <w:sz w:val="24"/>
        </w:rPr>
        <w:t>This policy represents BCA’s aspirations. Some service providers may already satisfy m</w:t>
      </w:r>
      <w:r w:rsidR="009F2DF4">
        <w:rPr>
          <w:rFonts w:ascii="Arial" w:eastAsia="Calibri" w:hAnsi="Arial" w:cs="Times New Roman"/>
          <w:sz w:val="24"/>
        </w:rPr>
        <w:t xml:space="preserve">any of the expectations of the </w:t>
      </w:r>
      <w:r w:rsidR="004330A1">
        <w:rPr>
          <w:rFonts w:ascii="Arial" w:eastAsia="Calibri" w:hAnsi="Arial" w:cs="Times New Roman"/>
          <w:sz w:val="24"/>
        </w:rPr>
        <w:t>clauses of this policy;</w:t>
      </w:r>
      <w:r w:rsidRPr="005B23D5">
        <w:rPr>
          <w:rFonts w:ascii="Arial" w:eastAsia="Calibri" w:hAnsi="Arial" w:cs="Times New Roman"/>
          <w:sz w:val="24"/>
        </w:rPr>
        <w:t xml:space="preserve"> striving to achieve all would represent best practice in service provision. A blindness service </w:t>
      </w:r>
      <w:r w:rsidR="004330A1" w:rsidRPr="005B23D5">
        <w:rPr>
          <w:rFonts w:ascii="Arial" w:eastAsia="Calibri" w:hAnsi="Arial" w:cs="Times New Roman"/>
          <w:sz w:val="24"/>
        </w:rPr>
        <w:t>provider that strives to meet our aspirations</w:t>
      </w:r>
      <w:r w:rsidRPr="005B23D5">
        <w:rPr>
          <w:rFonts w:ascii="Arial" w:eastAsia="Calibri" w:hAnsi="Arial" w:cs="Times New Roman"/>
          <w:sz w:val="24"/>
        </w:rPr>
        <w:t xml:space="preserve"> will offer an excellent choice for a </w:t>
      </w:r>
      <w:r w:rsidR="004330A1">
        <w:rPr>
          <w:rFonts w:ascii="Arial" w:eastAsia="Calibri" w:hAnsi="Arial" w:cs="Times New Roman"/>
          <w:sz w:val="24"/>
        </w:rPr>
        <w:t xml:space="preserve">service user. It is </w:t>
      </w:r>
      <w:r w:rsidR="009F2DF4">
        <w:rPr>
          <w:rFonts w:ascii="Arial" w:eastAsia="Calibri" w:hAnsi="Arial" w:cs="Times New Roman"/>
          <w:sz w:val="24"/>
        </w:rPr>
        <w:t xml:space="preserve">hoped that </w:t>
      </w:r>
      <w:r w:rsidRPr="005B23D5">
        <w:rPr>
          <w:rFonts w:ascii="Arial" w:eastAsia="Calibri" w:hAnsi="Arial" w:cs="Times New Roman"/>
          <w:sz w:val="24"/>
        </w:rPr>
        <w:t>service providers who have not traditionally offered service to people who are blind or vision impaired may see benefits in adopting elements of this policy.</w:t>
      </w:r>
    </w:p>
    <w:p w14:paraId="2E84CB9B" w14:textId="787BC7DF" w:rsidR="00927292" w:rsidRPr="002B4AB0" w:rsidRDefault="009F2DF4" w:rsidP="005C5DE8">
      <w:pPr>
        <w:pStyle w:val="Heading1"/>
        <w:keepNext/>
        <w:keepLines/>
        <w:spacing w:before="360"/>
        <w:ind w:left="851" w:hanging="851"/>
        <w:jc w:val="left"/>
        <w:rPr>
          <w:rFonts w:eastAsia="Calibri"/>
          <w:sz w:val="24"/>
          <w:lang w:val="en-US"/>
        </w:rPr>
      </w:pPr>
      <w:bookmarkStart w:id="5" w:name="_Toc3205983"/>
      <w:r>
        <w:rPr>
          <w:kern w:val="0"/>
          <w:sz w:val="28"/>
          <w:szCs w:val="28"/>
        </w:rPr>
        <w:t xml:space="preserve">2. </w:t>
      </w:r>
      <w:r w:rsidR="00927292" w:rsidRPr="002B4AB0">
        <w:rPr>
          <w:kern w:val="0"/>
          <w:sz w:val="28"/>
          <w:szCs w:val="28"/>
        </w:rPr>
        <w:t>Policy context</w:t>
      </w:r>
      <w:bookmarkEnd w:id="5"/>
    </w:p>
    <w:p w14:paraId="0C71EF80" w14:textId="7AC9E552" w:rsidR="00353D02" w:rsidRPr="00EA5D22" w:rsidRDefault="005106DF" w:rsidP="00EA5D22">
      <w:pPr>
        <w:pStyle w:val="ListParagraph"/>
        <w:spacing w:line="240" w:lineRule="auto"/>
        <w:ind w:left="0"/>
        <w:rPr>
          <w:rFonts w:ascii="Arial" w:eastAsia="Calibri" w:hAnsi="Arial" w:cs="Times New Roman"/>
          <w:sz w:val="24"/>
          <w:lang w:val="en"/>
        </w:rPr>
      </w:pPr>
      <w:r w:rsidRPr="005106DF">
        <w:rPr>
          <w:rFonts w:ascii="Arial" w:eastAsia="Calibri" w:hAnsi="Arial" w:cs="Times New Roman"/>
          <w:sz w:val="24"/>
          <w:lang w:val="en"/>
        </w:rPr>
        <w:t xml:space="preserve">Underpinning every aspect of this policy are the human rights, dignity and privacy of and respect for each individual who is blind or vision impaired. BCA works hard to maintain constructive working relationships with blindness service providers and has recently </w:t>
      </w:r>
      <w:proofErr w:type="spellStart"/>
      <w:r w:rsidRPr="005106DF">
        <w:rPr>
          <w:rFonts w:ascii="Arial" w:eastAsia="Calibri" w:hAnsi="Arial" w:cs="Times New Roman"/>
          <w:sz w:val="24"/>
          <w:lang w:val="en"/>
        </w:rPr>
        <w:t>formalised</w:t>
      </w:r>
      <w:proofErr w:type="spellEnd"/>
      <w:r w:rsidRPr="005106DF">
        <w:rPr>
          <w:rFonts w:ascii="Arial" w:eastAsia="Calibri" w:hAnsi="Arial" w:cs="Times New Roman"/>
          <w:sz w:val="24"/>
          <w:lang w:val="en"/>
        </w:rPr>
        <w:t xml:space="preserve"> partnership agreements with several of them. This policy has been developed after consultation with a broad range of service users who </w:t>
      </w:r>
      <w:proofErr w:type="spellStart"/>
      <w:r w:rsidRPr="005106DF">
        <w:rPr>
          <w:rFonts w:ascii="Arial" w:eastAsia="Calibri" w:hAnsi="Arial" w:cs="Times New Roman"/>
          <w:sz w:val="24"/>
          <w:lang w:val="en"/>
        </w:rPr>
        <w:t>utilise</w:t>
      </w:r>
      <w:proofErr w:type="spellEnd"/>
      <w:r w:rsidRPr="005106DF">
        <w:rPr>
          <w:rFonts w:ascii="Arial" w:eastAsia="Calibri" w:hAnsi="Arial" w:cs="Times New Roman"/>
          <w:sz w:val="24"/>
          <w:lang w:val="en"/>
        </w:rPr>
        <w:t xml:space="preserve"> many different services. It </w:t>
      </w:r>
      <w:proofErr w:type="spellStart"/>
      <w:r w:rsidRPr="005106DF">
        <w:rPr>
          <w:rFonts w:ascii="Arial" w:eastAsia="Calibri" w:hAnsi="Arial" w:cs="Times New Roman"/>
          <w:sz w:val="24"/>
          <w:lang w:val="en"/>
        </w:rPr>
        <w:t>recognises</w:t>
      </w:r>
      <w:proofErr w:type="spellEnd"/>
      <w:r w:rsidRPr="005106DF">
        <w:rPr>
          <w:rFonts w:ascii="Arial" w:eastAsia="Calibri" w:hAnsi="Arial" w:cs="Times New Roman"/>
          <w:sz w:val="24"/>
          <w:lang w:val="en"/>
        </w:rPr>
        <w:t xml:space="preserve"> the diversity in history and focus of blindness service providers. In this framework of mutual understanding and respect, we encourage and offer support to blindness service providers to develop strategies to ensure that they continue to offer quality services well into the future.</w:t>
      </w:r>
    </w:p>
    <w:p w14:paraId="5DBD129F" w14:textId="5115D6D6" w:rsidR="00927292" w:rsidRPr="002B4AB0" w:rsidRDefault="005106DF" w:rsidP="000B0B73">
      <w:pPr>
        <w:pStyle w:val="Heading1"/>
        <w:keepNext/>
        <w:keepLines/>
        <w:spacing w:before="360"/>
        <w:ind w:left="851" w:hanging="851"/>
        <w:jc w:val="left"/>
        <w:rPr>
          <w:rFonts w:eastAsia="Calibri"/>
          <w:sz w:val="24"/>
          <w:lang w:val="en-US"/>
        </w:rPr>
      </w:pPr>
      <w:bookmarkStart w:id="6" w:name="_Toc3205984"/>
      <w:r>
        <w:rPr>
          <w:kern w:val="0"/>
          <w:sz w:val="28"/>
          <w:szCs w:val="28"/>
        </w:rPr>
        <w:t>Policy Statement</w:t>
      </w:r>
      <w:bookmarkEnd w:id="6"/>
    </w:p>
    <w:p w14:paraId="398057D2" w14:textId="09A6FF4A" w:rsidR="00927292" w:rsidRDefault="00927292" w:rsidP="00927292">
      <w:pPr>
        <w:spacing w:after="0" w:line="240" w:lineRule="auto"/>
        <w:rPr>
          <w:rFonts w:ascii="Arial" w:eastAsia="Calibri" w:hAnsi="Arial" w:cs="Times New Roman"/>
          <w:sz w:val="24"/>
          <w:lang w:val="en-US"/>
        </w:rPr>
      </w:pPr>
    </w:p>
    <w:p w14:paraId="0885F0F8" w14:textId="450E91B2" w:rsidR="005106DF" w:rsidRPr="005C5DE8" w:rsidRDefault="005106DF" w:rsidP="005C5DE8">
      <w:pPr>
        <w:pStyle w:val="Heading2"/>
        <w:rPr>
          <w:rFonts w:eastAsia="Calibri"/>
          <w:lang w:val="en-US"/>
        </w:rPr>
      </w:pPr>
      <w:bookmarkStart w:id="7" w:name="_Toc3205985"/>
      <w:r w:rsidRPr="005106DF">
        <w:rPr>
          <w:rFonts w:eastAsia="Calibri"/>
          <w:lang w:val="en-US"/>
        </w:rPr>
        <w:t>3. Entitlement to Service</w:t>
      </w:r>
      <w:bookmarkEnd w:id="7"/>
      <w:r w:rsidRPr="005106DF">
        <w:rPr>
          <w:rFonts w:eastAsia="Calibri"/>
          <w:lang w:val="en-US"/>
        </w:rPr>
        <w:t xml:space="preserve"> </w:t>
      </w:r>
    </w:p>
    <w:p w14:paraId="157A161D" w14:textId="046ED638" w:rsidR="005106DF" w:rsidRPr="005106DF" w:rsidRDefault="005106DF" w:rsidP="005106DF">
      <w:pPr>
        <w:spacing w:after="0" w:line="240" w:lineRule="auto"/>
        <w:rPr>
          <w:rFonts w:ascii="Arial" w:eastAsia="Calibri" w:hAnsi="Arial" w:cs="Times New Roman"/>
          <w:sz w:val="24"/>
          <w:lang w:val="en-US"/>
        </w:rPr>
      </w:pPr>
      <w:r>
        <w:rPr>
          <w:rFonts w:ascii="Arial" w:eastAsia="Calibri" w:hAnsi="Arial" w:cs="Times New Roman"/>
          <w:sz w:val="24"/>
          <w:lang w:val="en-US"/>
        </w:rPr>
        <w:t>3.1</w:t>
      </w:r>
      <w:r w:rsidRPr="005106DF">
        <w:rPr>
          <w:rFonts w:ascii="Arial" w:eastAsia="Calibri" w:hAnsi="Arial" w:cs="Times New Roman"/>
          <w:sz w:val="24"/>
          <w:lang w:val="en-US"/>
        </w:rPr>
        <w:t xml:space="preserve"> People who are blind or vision impaired have specific needs for assistance, </w:t>
      </w:r>
      <w:r>
        <w:rPr>
          <w:rFonts w:ascii="Arial" w:eastAsia="Calibri" w:hAnsi="Arial" w:cs="Times New Roman"/>
          <w:sz w:val="24"/>
          <w:lang w:val="en-US"/>
        </w:rPr>
        <w:t>training and services if we are</w:t>
      </w:r>
      <w:r w:rsidRPr="005106DF">
        <w:rPr>
          <w:rFonts w:ascii="Arial" w:eastAsia="Calibri" w:hAnsi="Arial" w:cs="Times New Roman"/>
          <w:sz w:val="24"/>
          <w:lang w:val="en-US"/>
        </w:rPr>
        <w:t xml:space="preserve"> to fully participate as citizens in our communities. While people who are blind or vision impaired can and increasingly do access mainstream and multi-disability services, BCA believes that specialist blindness service providers have the best knowledge, experience and training to most appropriately meet the needs of people who are blind or vision impaired and assist us to achieve our aspirations.</w:t>
      </w:r>
    </w:p>
    <w:p w14:paraId="07AF1CF9" w14:textId="77777777" w:rsidR="005106DF" w:rsidRPr="005106DF" w:rsidRDefault="005106DF" w:rsidP="005106DF">
      <w:pPr>
        <w:spacing w:after="0" w:line="240" w:lineRule="auto"/>
        <w:rPr>
          <w:rFonts w:ascii="Arial" w:eastAsia="Calibri" w:hAnsi="Arial" w:cs="Times New Roman"/>
          <w:sz w:val="24"/>
          <w:lang w:val="en-US"/>
        </w:rPr>
      </w:pPr>
    </w:p>
    <w:p w14:paraId="4239E332" w14:textId="35D40FD6" w:rsidR="00953DB5" w:rsidRDefault="00953DB5" w:rsidP="00953DB5">
      <w:pPr>
        <w:spacing w:after="0" w:line="240" w:lineRule="auto"/>
        <w:rPr>
          <w:rFonts w:ascii="Arial" w:eastAsia="Calibri" w:hAnsi="Arial" w:cs="Times New Roman"/>
          <w:sz w:val="24"/>
          <w:lang w:val="en-US"/>
        </w:rPr>
      </w:pPr>
      <w:r>
        <w:rPr>
          <w:rFonts w:ascii="Arial" w:eastAsia="Calibri" w:hAnsi="Arial" w:cs="Times New Roman"/>
          <w:sz w:val="24"/>
          <w:lang w:val="en-US"/>
        </w:rPr>
        <w:t>3.2 Service Guarantee</w:t>
      </w:r>
      <w:r w:rsidR="005106DF" w:rsidRPr="005106DF">
        <w:rPr>
          <w:rFonts w:ascii="Arial" w:eastAsia="Calibri" w:hAnsi="Arial" w:cs="Times New Roman"/>
          <w:sz w:val="24"/>
          <w:lang w:val="en-US"/>
        </w:rPr>
        <w:t xml:space="preserve">: </w:t>
      </w:r>
      <w:r w:rsidR="005106DF" w:rsidRPr="005106DF">
        <w:rPr>
          <w:rFonts w:ascii="Arial" w:eastAsia="Calibri" w:hAnsi="Arial" w:cs="Times New Roman"/>
          <w:sz w:val="24"/>
        </w:rPr>
        <w:t>Blindness service providers must guarantee to provide the services that are essential to the education, employment and daily lives of people who</w:t>
      </w:r>
      <w:r w:rsidR="00885994">
        <w:rPr>
          <w:rFonts w:ascii="Arial" w:eastAsia="Calibri" w:hAnsi="Arial" w:cs="Times New Roman"/>
          <w:sz w:val="24"/>
        </w:rPr>
        <w:t xml:space="preserve"> are blind or vision impaired, i</w:t>
      </w:r>
      <w:r w:rsidR="005106DF" w:rsidRPr="005106DF">
        <w:rPr>
          <w:rFonts w:ascii="Arial" w:eastAsia="Calibri" w:hAnsi="Arial" w:cs="Times New Roman"/>
          <w:sz w:val="24"/>
        </w:rPr>
        <w:t>rrespective o</w:t>
      </w:r>
      <w:r w:rsidR="00885994">
        <w:rPr>
          <w:rFonts w:ascii="Arial" w:eastAsia="Calibri" w:hAnsi="Arial" w:cs="Times New Roman"/>
          <w:sz w:val="24"/>
        </w:rPr>
        <w:t>f</w:t>
      </w:r>
      <w:r w:rsidR="005106DF" w:rsidRPr="005106DF">
        <w:rPr>
          <w:rFonts w:ascii="Arial" w:eastAsia="Calibri" w:hAnsi="Arial" w:cs="Times New Roman"/>
          <w:sz w:val="24"/>
        </w:rPr>
        <w:t xml:space="preserve"> </w:t>
      </w:r>
      <w:r>
        <w:rPr>
          <w:rFonts w:ascii="Arial" w:eastAsia="Calibri" w:hAnsi="Arial" w:cs="Times New Roman"/>
          <w:sz w:val="24"/>
        </w:rPr>
        <w:t xml:space="preserve">their eligibility for funding.  </w:t>
      </w:r>
      <w:r w:rsidR="00E245EA">
        <w:rPr>
          <w:rFonts w:ascii="Arial" w:eastAsia="Calibri" w:hAnsi="Arial" w:cs="Times New Roman"/>
          <w:sz w:val="24"/>
          <w:lang w:val="en-US"/>
        </w:rPr>
        <w:t xml:space="preserve">No blind or vision </w:t>
      </w:r>
      <w:r w:rsidRPr="005106DF">
        <w:rPr>
          <w:rFonts w:ascii="Arial" w:eastAsia="Calibri" w:hAnsi="Arial" w:cs="Times New Roman"/>
          <w:sz w:val="24"/>
          <w:lang w:val="en-US"/>
        </w:rPr>
        <w:t xml:space="preserve">impaired person </w:t>
      </w:r>
      <w:r w:rsidR="006B15E5">
        <w:rPr>
          <w:rFonts w:ascii="Arial" w:eastAsia="Calibri" w:hAnsi="Arial" w:cs="Times New Roman"/>
          <w:sz w:val="24"/>
          <w:lang w:val="en-US"/>
        </w:rPr>
        <w:t>will</w:t>
      </w:r>
      <w:r w:rsidRPr="005106DF">
        <w:rPr>
          <w:rFonts w:ascii="Arial" w:eastAsia="Calibri" w:hAnsi="Arial" w:cs="Times New Roman"/>
          <w:sz w:val="24"/>
          <w:lang w:val="en-US"/>
        </w:rPr>
        <w:t xml:space="preserve"> be out of pocket</w:t>
      </w:r>
      <w:r>
        <w:rPr>
          <w:rFonts w:ascii="Arial" w:eastAsia="Calibri" w:hAnsi="Arial" w:cs="Times New Roman"/>
          <w:sz w:val="24"/>
          <w:lang w:val="en-US"/>
        </w:rPr>
        <w:t xml:space="preserve"> or denied</w:t>
      </w:r>
      <w:r w:rsidRPr="005106DF">
        <w:rPr>
          <w:rFonts w:ascii="Arial" w:eastAsia="Calibri" w:hAnsi="Arial" w:cs="Times New Roman"/>
          <w:sz w:val="24"/>
          <w:lang w:val="en-US"/>
        </w:rPr>
        <w:t xml:space="preserve"> a service they need because of their blindness or vision impairment.</w:t>
      </w:r>
    </w:p>
    <w:p w14:paraId="3F5E3BE9" w14:textId="6A0DECA6" w:rsidR="00885994" w:rsidRDefault="00885994" w:rsidP="005106DF">
      <w:pPr>
        <w:spacing w:after="0" w:line="240" w:lineRule="auto"/>
        <w:rPr>
          <w:rFonts w:ascii="Arial" w:eastAsia="Calibri" w:hAnsi="Arial" w:cs="Times New Roman"/>
          <w:sz w:val="24"/>
          <w:lang w:val="en-US"/>
        </w:rPr>
      </w:pPr>
    </w:p>
    <w:p w14:paraId="63F7260A" w14:textId="31BD5171" w:rsidR="005106DF" w:rsidRPr="005106DF" w:rsidRDefault="00885994" w:rsidP="005106DF">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3.3 </w:t>
      </w:r>
      <w:r w:rsidR="005106DF" w:rsidRPr="005106DF">
        <w:rPr>
          <w:rFonts w:ascii="Arial" w:eastAsia="Calibri" w:hAnsi="Arial" w:cs="Times New Roman"/>
          <w:sz w:val="24"/>
          <w:lang w:val="en-US"/>
        </w:rPr>
        <w:t>Blindness-specific services include:</w:t>
      </w:r>
    </w:p>
    <w:p w14:paraId="1B7B4692" w14:textId="66C6744D" w:rsidR="005106DF" w:rsidRPr="005106DF" w:rsidRDefault="00885994" w:rsidP="005106DF">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 </w:t>
      </w:r>
      <w:r w:rsidR="005106DF" w:rsidRPr="005106DF">
        <w:rPr>
          <w:rFonts w:ascii="Arial" w:eastAsia="Calibri" w:hAnsi="Arial" w:cs="Times New Roman"/>
          <w:sz w:val="24"/>
          <w:lang w:val="en-US"/>
        </w:rPr>
        <w:t>Information about and training in the use of assistive technology;</w:t>
      </w:r>
    </w:p>
    <w:p w14:paraId="634F08F5" w14:textId="7F90D277" w:rsidR="005106DF" w:rsidRPr="005106DF" w:rsidRDefault="005106DF" w:rsidP="00885994">
      <w:pPr>
        <w:spacing w:after="0" w:line="240" w:lineRule="auto"/>
        <w:ind w:left="142" w:hanging="142"/>
        <w:rPr>
          <w:rFonts w:ascii="Arial" w:eastAsia="Calibri" w:hAnsi="Arial" w:cs="Times New Roman"/>
          <w:sz w:val="24"/>
          <w:lang w:val="en-US"/>
        </w:rPr>
      </w:pPr>
      <w:r w:rsidRPr="005106DF">
        <w:rPr>
          <w:rFonts w:ascii="Arial" w:eastAsia="Calibri" w:hAnsi="Arial" w:cs="Times New Roman"/>
          <w:sz w:val="24"/>
          <w:lang w:val="en-US"/>
        </w:rPr>
        <w:t>-</w:t>
      </w:r>
      <w:r w:rsidR="00885994">
        <w:rPr>
          <w:rFonts w:ascii="Arial" w:eastAsia="Calibri" w:hAnsi="Arial" w:cs="Times New Roman"/>
          <w:sz w:val="24"/>
          <w:lang w:val="en-US"/>
        </w:rPr>
        <w:t xml:space="preserve"> </w:t>
      </w:r>
      <w:r w:rsidRPr="005106DF">
        <w:rPr>
          <w:rFonts w:ascii="Arial" w:eastAsia="Calibri" w:hAnsi="Arial" w:cs="Times New Roman"/>
          <w:sz w:val="24"/>
          <w:lang w:val="en-US"/>
        </w:rPr>
        <w:t xml:space="preserve">Orientation and mobility, including dog guide training, cane training and </w:t>
      </w:r>
      <w:r w:rsidR="00885994">
        <w:rPr>
          <w:rFonts w:ascii="Arial" w:eastAsia="Calibri" w:hAnsi="Arial" w:cs="Times New Roman"/>
          <w:sz w:val="24"/>
          <w:lang w:val="en-US"/>
        </w:rPr>
        <w:t xml:space="preserve">instruction </w:t>
      </w:r>
      <w:r w:rsidRPr="005106DF">
        <w:rPr>
          <w:rFonts w:ascii="Arial" w:eastAsia="Calibri" w:hAnsi="Arial" w:cs="Times New Roman"/>
          <w:sz w:val="24"/>
          <w:lang w:val="en-US"/>
        </w:rPr>
        <w:t>in other relevant products and equipment;</w:t>
      </w:r>
    </w:p>
    <w:p w14:paraId="6A178880" w14:textId="6CCCC281" w:rsidR="005106DF" w:rsidRPr="005106DF" w:rsidRDefault="005106DF" w:rsidP="005106DF">
      <w:pPr>
        <w:spacing w:after="0" w:line="240" w:lineRule="auto"/>
        <w:rPr>
          <w:rFonts w:ascii="Arial" w:eastAsia="Calibri" w:hAnsi="Arial" w:cs="Times New Roman"/>
          <w:sz w:val="24"/>
          <w:lang w:val="en-US"/>
        </w:rPr>
      </w:pPr>
      <w:r w:rsidRPr="005106DF">
        <w:rPr>
          <w:rFonts w:ascii="Arial" w:eastAsia="Calibri" w:hAnsi="Arial" w:cs="Times New Roman"/>
          <w:sz w:val="24"/>
          <w:lang w:val="en-US"/>
        </w:rPr>
        <w:t>-</w:t>
      </w:r>
      <w:r w:rsidR="00885994">
        <w:rPr>
          <w:rFonts w:ascii="Arial" w:eastAsia="Calibri" w:hAnsi="Arial" w:cs="Times New Roman"/>
          <w:sz w:val="24"/>
          <w:lang w:val="en-US"/>
        </w:rPr>
        <w:t xml:space="preserve"> </w:t>
      </w:r>
      <w:r w:rsidRPr="005106DF">
        <w:rPr>
          <w:rFonts w:ascii="Arial" w:eastAsia="Calibri" w:hAnsi="Arial" w:cs="Times New Roman"/>
          <w:sz w:val="24"/>
          <w:lang w:val="en-US"/>
        </w:rPr>
        <w:t>Braille instruction and transcription services;</w:t>
      </w:r>
    </w:p>
    <w:p w14:paraId="23DC8D1D" w14:textId="0743CC3A" w:rsidR="005106DF" w:rsidRPr="005106DF" w:rsidRDefault="005106DF" w:rsidP="005106DF">
      <w:pPr>
        <w:spacing w:after="0" w:line="240" w:lineRule="auto"/>
        <w:rPr>
          <w:rFonts w:ascii="Arial" w:eastAsia="Calibri" w:hAnsi="Arial" w:cs="Times New Roman"/>
          <w:sz w:val="24"/>
          <w:lang w:val="en-US"/>
        </w:rPr>
      </w:pPr>
      <w:r w:rsidRPr="005106DF">
        <w:rPr>
          <w:rFonts w:ascii="Arial" w:eastAsia="Calibri" w:hAnsi="Arial" w:cs="Times New Roman"/>
          <w:sz w:val="24"/>
          <w:lang w:val="en-US"/>
        </w:rPr>
        <w:t>-</w:t>
      </w:r>
      <w:r w:rsidR="00885994">
        <w:rPr>
          <w:rFonts w:ascii="Arial" w:eastAsia="Calibri" w:hAnsi="Arial" w:cs="Times New Roman"/>
          <w:sz w:val="24"/>
          <w:lang w:val="en-US"/>
        </w:rPr>
        <w:t xml:space="preserve"> </w:t>
      </w:r>
      <w:r w:rsidRPr="005106DF">
        <w:rPr>
          <w:rFonts w:ascii="Arial" w:eastAsia="Calibri" w:hAnsi="Arial" w:cs="Times New Roman"/>
          <w:sz w:val="24"/>
          <w:lang w:val="en-US"/>
        </w:rPr>
        <w:t>Library services;</w:t>
      </w:r>
    </w:p>
    <w:p w14:paraId="5F1E599D" w14:textId="3DD9845C" w:rsidR="005106DF" w:rsidRPr="005106DF" w:rsidRDefault="005106DF" w:rsidP="005106DF">
      <w:pPr>
        <w:spacing w:after="0" w:line="240" w:lineRule="auto"/>
        <w:rPr>
          <w:rFonts w:ascii="Arial" w:eastAsia="Calibri" w:hAnsi="Arial" w:cs="Times New Roman"/>
          <w:sz w:val="24"/>
          <w:lang w:val="en-US"/>
        </w:rPr>
      </w:pPr>
      <w:r w:rsidRPr="005106DF">
        <w:rPr>
          <w:rFonts w:ascii="Arial" w:eastAsia="Calibri" w:hAnsi="Arial" w:cs="Times New Roman"/>
          <w:sz w:val="24"/>
          <w:lang w:val="en-US"/>
        </w:rPr>
        <w:t>-</w:t>
      </w:r>
      <w:r w:rsidR="00885994">
        <w:rPr>
          <w:rFonts w:ascii="Arial" w:eastAsia="Calibri" w:hAnsi="Arial" w:cs="Times New Roman"/>
          <w:sz w:val="24"/>
          <w:lang w:val="en-US"/>
        </w:rPr>
        <w:t xml:space="preserve"> </w:t>
      </w:r>
      <w:r w:rsidR="00E245EA">
        <w:rPr>
          <w:rFonts w:ascii="Arial" w:eastAsia="Calibri" w:hAnsi="Arial" w:cs="Times New Roman"/>
          <w:sz w:val="24"/>
          <w:lang w:val="en-US"/>
        </w:rPr>
        <w:t xml:space="preserve">Occupational </w:t>
      </w:r>
      <w:r w:rsidRPr="005106DF">
        <w:rPr>
          <w:rFonts w:ascii="Arial" w:eastAsia="Calibri" w:hAnsi="Arial" w:cs="Times New Roman"/>
          <w:sz w:val="24"/>
          <w:lang w:val="en-US"/>
        </w:rPr>
        <w:t xml:space="preserve">therapy as it </w:t>
      </w:r>
      <w:r w:rsidR="00E245EA">
        <w:rPr>
          <w:rFonts w:ascii="Arial" w:eastAsia="Calibri" w:hAnsi="Arial" w:cs="Times New Roman"/>
          <w:sz w:val="24"/>
          <w:lang w:val="en-US"/>
        </w:rPr>
        <w:t>relates to daily living skills;</w:t>
      </w:r>
    </w:p>
    <w:p w14:paraId="2A60D233" w14:textId="23E60685" w:rsidR="005106DF" w:rsidRPr="005106DF" w:rsidRDefault="00885994" w:rsidP="005106DF">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 </w:t>
      </w:r>
      <w:r w:rsidR="005106DF" w:rsidRPr="005106DF">
        <w:rPr>
          <w:rFonts w:ascii="Arial" w:eastAsia="Calibri" w:hAnsi="Arial" w:cs="Times New Roman"/>
          <w:sz w:val="24"/>
          <w:lang w:val="en-US"/>
        </w:rPr>
        <w:t xml:space="preserve">Rehabilitation counselling. </w:t>
      </w:r>
    </w:p>
    <w:p w14:paraId="5F6CB329" w14:textId="77777777" w:rsidR="005106DF" w:rsidRPr="005106DF" w:rsidRDefault="005106DF" w:rsidP="005106DF">
      <w:pPr>
        <w:spacing w:after="0" w:line="240" w:lineRule="auto"/>
        <w:rPr>
          <w:rFonts w:ascii="Arial" w:eastAsia="Calibri" w:hAnsi="Arial" w:cs="Times New Roman"/>
          <w:sz w:val="24"/>
          <w:lang w:val="en-US"/>
        </w:rPr>
      </w:pPr>
    </w:p>
    <w:p w14:paraId="6822146B" w14:textId="1FDB2D84" w:rsidR="005106DF" w:rsidRPr="005106DF" w:rsidRDefault="00885994" w:rsidP="005106DF">
      <w:pPr>
        <w:spacing w:after="0" w:line="240" w:lineRule="auto"/>
        <w:rPr>
          <w:rFonts w:ascii="Arial" w:eastAsia="Calibri" w:hAnsi="Arial" w:cs="Times New Roman"/>
          <w:sz w:val="24"/>
          <w:lang w:val="en-US"/>
        </w:rPr>
      </w:pPr>
      <w:r>
        <w:rPr>
          <w:rFonts w:ascii="Arial" w:eastAsia="Calibri" w:hAnsi="Arial" w:cs="Times New Roman"/>
          <w:sz w:val="24"/>
          <w:lang w:val="en-US"/>
        </w:rPr>
        <w:t>3.4</w:t>
      </w:r>
      <w:r w:rsidR="005106DF" w:rsidRPr="005106DF">
        <w:rPr>
          <w:rFonts w:ascii="Arial" w:eastAsia="Calibri" w:hAnsi="Arial" w:cs="Times New Roman"/>
          <w:sz w:val="24"/>
          <w:lang w:val="en-US"/>
        </w:rPr>
        <w:t xml:space="preserve"> Blindness service providers may offer additional </w:t>
      </w:r>
      <w:r w:rsidR="00E245EA" w:rsidRPr="005106DF">
        <w:rPr>
          <w:rFonts w:ascii="Arial" w:eastAsia="Calibri" w:hAnsi="Arial" w:cs="Times New Roman"/>
          <w:sz w:val="24"/>
          <w:lang w:val="en-US"/>
        </w:rPr>
        <w:t>services that</w:t>
      </w:r>
      <w:r w:rsidR="005106DF" w:rsidRPr="005106DF">
        <w:rPr>
          <w:rFonts w:ascii="Arial" w:eastAsia="Calibri" w:hAnsi="Arial" w:cs="Times New Roman"/>
          <w:sz w:val="24"/>
          <w:lang w:val="en-US"/>
        </w:rPr>
        <w:t xml:space="preserve"> can also be of benefit or interest to blind and vision impaired people, such as genre cooking classes </w:t>
      </w:r>
      <w:r w:rsidR="00D967CB">
        <w:rPr>
          <w:rFonts w:ascii="Arial" w:eastAsia="Calibri" w:hAnsi="Arial" w:cs="Times New Roman"/>
          <w:sz w:val="24"/>
          <w:lang w:val="en-US"/>
        </w:rPr>
        <w:t>and social activities. These ma</w:t>
      </w:r>
      <w:r w:rsidR="005106DF" w:rsidRPr="005106DF">
        <w:rPr>
          <w:rFonts w:ascii="Arial" w:eastAsia="Calibri" w:hAnsi="Arial" w:cs="Times New Roman"/>
          <w:sz w:val="24"/>
          <w:lang w:val="en-US"/>
        </w:rPr>
        <w:t>y be funded from targeted sources or by the users, at the blindness service provider’s discretion.</w:t>
      </w:r>
    </w:p>
    <w:p w14:paraId="7E76359E" w14:textId="77777777" w:rsidR="005106DF" w:rsidRPr="005106DF" w:rsidRDefault="005106DF" w:rsidP="005106DF">
      <w:pPr>
        <w:spacing w:after="0" w:line="240" w:lineRule="auto"/>
        <w:rPr>
          <w:rFonts w:ascii="Arial" w:eastAsia="Calibri" w:hAnsi="Arial" w:cs="Times New Roman"/>
          <w:sz w:val="24"/>
          <w:lang w:val="en-US"/>
        </w:rPr>
      </w:pPr>
    </w:p>
    <w:p w14:paraId="5028D540" w14:textId="0553B87F" w:rsidR="00885994" w:rsidRDefault="00885994" w:rsidP="005106DF">
      <w:pPr>
        <w:spacing w:after="0" w:line="240" w:lineRule="auto"/>
        <w:rPr>
          <w:rFonts w:ascii="Arial" w:eastAsia="Calibri" w:hAnsi="Arial" w:cs="Times New Roman"/>
          <w:sz w:val="24"/>
          <w:lang w:val="en-US"/>
        </w:rPr>
      </w:pPr>
      <w:r>
        <w:rPr>
          <w:rFonts w:ascii="Arial" w:eastAsia="Calibri" w:hAnsi="Arial" w:cs="Times New Roman"/>
          <w:sz w:val="24"/>
          <w:lang w:val="en-US"/>
        </w:rPr>
        <w:t>3.5</w:t>
      </w:r>
      <w:r w:rsidR="005106DF" w:rsidRPr="005106DF">
        <w:rPr>
          <w:rFonts w:ascii="Arial" w:eastAsia="Calibri" w:hAnsi="Arial" w:cs="Times New Roman"/>
          <w:sz w:val="24"/>
          <w:lang w:val="en-US"/>
        </w:rPr>
        <w:t xml:space="preserve"> Blindness service providers exist to meet the needs of people who are </w:t>
      </w:r>
      <w:proofErr w:type="gramStart"/>
      <w:r w:rsidR="005106DF" w:rsidRPr="005106DF">
        <w:rPr>
          <w:rFonts w:ascii="Arial" w:eastAsia="Calibri" w:hAnsi="Arial" w:cs="Times New Roman"/>
          <w:sz w:val="24"/>
          <w:lang w:val="en-US"/>
        </w:rPr>
        <w:t>blind</w:t>
      </w:r>
      <w:proofErr w:type="gramEnd"/>
      <w:r w:rsidR="005106DF" w:rsidRPr="005106DF">
        <w:rPr>
          <w:rFonts w:ascii="Arial" w:eastAsia="Calibri" w:hAnsi="Arial" w:cs="Times New Roman"/>
          <w:sz w:val="24"/>
          <w:lang w:val="en-US"/>
        </w:rPr>
        <w:t xml:space="preserve"> or vision impaired that relate to their blindness and to help them achieve their aspirations, whatever their circumstances. Blindness service providers collect money from the public and accept government grants on this basis. Some people who are blind or vision impaired now have access to a range of funding programs. Not all people who are blind or vision impaired are eligible for a form of government payment and there are often significant delays in obtaining or maintaining access to these programs. Many funding packages do not adequately address the disability s</w:t>
      </w:r>
      <w:r w:rsidR="00953DB5">
        <w:rPr>
          <w:rFonts w:ascii="Arial" w:eastAsia="Calibri" w:hAnsi="Arial" w:cs="Times New Roman"/>
          <w:sz w:val="24"/>
          <w:lang w:val="en-US"/>
        </w:rPr>
        <w:t>pecific needs of service users.</w:t>
      </w:r>
    </w:p>
    <w:p w14:paraId="1D116561" w14:textId="46F56B79" w:rsidR="005106DF" w:rsidRPr="005106DF" w:rsidRDefault="005106DF" w:rsidP="005106DF">
      <w:pPr>
        <w:spacing w:after="0" w:line="240" w:lineRule="auto"/>
        <w:rPr>
          <w:rFonts w:ascii="Arial" w:eastAsia="Calibri" w:hAnsi="Arial" w:cs="Times New Roman"/>
          <w:sz w:val="24"/>
          <w:lang w:val="en-US"/>
        </w:rPr>
      </w:pPr>
      <w:r w:rsidRPr="005106DF">
        <w:rPr>
          <w:rFonts w:ascii="Arial" w:eastAsia="Calibri" w:hAnsi="Arial" w:cs="Times New Roman"/>
          <w:sz w:val="24"/>
          <w:lang w:val="en-US"/>
        </w:rPr>
        <w:t xml:space="preserve">  </w:t>
      </w:r>
    </w:p>
    <w:p w14:paraId="3F6AF79B" w14:textId="0F3D2963" w:rsidR="005106DF" w:rsidRPr="005106DF" w:rsidRDefault="00953DB5" w:rsidP="005106DF">
      <w:pPr>
        <w:spacing w:after="0" w:line="240" w:lineRule="auto"/>
        <w:rPr>
          <w:rFonts w:ascii="Arial" w:eastAsia="Calibri" w:hAnsi="Arial" w:cs="Times New Roman"/>
          <w:sz w:val="24"/>
          <w:lang w:val="en-US"/>
        </w:rPr>
      </w:pPr>
      <w:r>
        <w:rPr>
          <w:rFonts w:ascii="Arial" w:eastAsia="Calibri" w:hAnsi="Arial" w:cs="Times New Roman"/>
          <w:sz w:val="24"/>
          <w:lang w:val="en-US"/>
        </w:rPr>
        <w:t>3.6</w:t>
      </w:r>
      <w:r w:rsidR="00E245EA">
        <w:rPr>
          <w:rFonts w:ascii="Arial" w:eastAsia="Calibri" w:hAnsi="Arial" w:cs="Times New Roman"/>
          <w:sz w:val="24"/>
          <w:lang w:val="en-US"/>
        </w:rPr>
        <w:t xml:space="preserve"> </w:t>
      </w:r>
      <w:r w:rsidR="005106DF" w:rsidRPr="005106DF">
        <w:rPr>
          <w:rFonts w:ascii="Arial" w:eastAsia="Calibri" w:hAnsi="Arial" w:cs="Times New Roman"/>
          <w:sz w:val="24"/>
          <w:lang w:val="en-US"/>
        </w:rPr>
        <w:t>Service users who access funding packages are encouraged to seek funding for essential blindness services. This will help to ensure that blindness service providers can continue to operate and provide government with accurate and measurable indicators of the needs of the blind and vision impair</w:t>
      </w:r>
      <w:r w:rsidR="00E245EA">
        <w:rPr>
          <w:rFonts w:ascii="Arial" w:eastAsia="Calibri" w:hAnsi="Arial" w:cs="Times New Roman"/>
          <w:sz w:val="24"/>
          <w:lang w:val="en-US"/>
        </w:rPr>
        <w:t xml:space="preserve">ed population.  When funding is </w:t>
      </w:r>
      <w:r w:rsidR="005106DF" w:rsidRPr="005106DF">
        <w:rPr>
          <w:rFonts w:ascii="Arial" w:eastAsia="Calibri" w:hAnsi="Arial" w:cs="Times New Roman"/>
          <w:sz w:val="24"/>
          <w:lang w:val="en-US"/>
        </w:rPr>
        <w:t xml:space="preserve">allocated for blindness-specific services, it will be used to pay for services received at the appropriate rates. </w:t>
      </w:r>
    </w:p>
    <w:p w14:paraId="05A9C616" w14:textId="77777777" w:rsidR="005106DF" w:rsidRPr="005106DF" w:rsidRDefault="005106DF" w:rsidP="005106DF">
      <w:pPr>
        <w:spacing w:after="0" w:line="240" w:lineRule="auto"/>
        <w:rPr>
          <w:rFonts w:ascii="Arial" w:eastAsia="Calibri" w:hAnsi="Arial" w:cs="Times New Roman"/>
          <w:sz w:val="24"/>
          <w:lang w:val="en-US"/>
        </w:rPr>
      </w:pPr>
    </w:p>
    <w:p w14:paraId="669C7EBD" w14:textId="1AA826DE" w:rsidR="005106DF" w:rsidRDefault="005106DF" w:rsidP="005106DF">
      <w:pPr>
        <w:spacing w:after="0" w:line="240" w:lineRule="auto"/>
        <w:rPr>
          <w:rFonts w:ascii="Arial" w:eastAsia="Calibri" w:hAnsi="Arial" w:cs="Times New Roman"/>
          <w:sz w:val="24"/>
          <w:lang w:val="en-US"/>
        </w:rPr>
      </w:pPr>
      <w:r w:rsidRPr="005106DF">
        <w:rPr>
          <w:rFonts w:ascii="Arial" w:eastAsia="Calibri" w:hAnsi="Arial" w:cs="Times New Roman"/>
          <w:sz w:val="24"/>
          <w:lang w:val="en-US"/>
        </w:rPr>
        <w:t>3.</w:t>
      </w:r>
      <w:r w:rsidR="00953DB5">
        <w:rPr>
          <w:rFonts w:ascii="Arial" w:eastAsia="Calibri" w:hAnsi="Arial" w:cs="Times New Roman"/>
          <w:sz w:val="24"/>
          <w:lang w:val="en-US"/>
        </w:rPr>
        <w:t>7</w:t>
      </w:r>
      <w:r w:rsidRPr="005106DF">
        <w:rPr>
          <w:rFonts w:ascii="Arial" w:eastAsia="Calibri" w:hAnsi="Arial" w:cs="Times New Roman"/>
          <w:sz w:val="24"/>
          <w:lang w:val="en-US"/>
        </w:rPr>
        <w:t xml:space="preserve"> No service is to be predicated on a service user's willingness or ability to donate or to bec</w:t>
      </w:r>
      <w:r w:rsidR="0072578B">
        <w:rPr>
          <w:rFonts w:ascii="Arial" w:eastAsia="Calibri" w:hAnsi="Arial" w:cs="Times New Roman"/>
          <w:sz w:val="24"/>
          <w:lang w:val="en-US"/>
        </w:rPr>
        <w:t>ome involved in the service provider</w:t>
      </w:r>
      <w:r w:rsidRPr="005106DF">
        <w:rPr>
          <w:rFonts w:ascii="Arial" w:eastAsia="Calibri" w:hAnsi="Arial" w:cs="Times New Roman"/>
          <w:sz w:val="24"/>
          <w:lang w:val="en-US"/>
        </w:rPr>
        <w:t>'s</w:t>
      </w:r>
      <w:r w:rsidR="0072578B">
        <w:rPr>
          <w:rFonts w:ascii="Arial" w:eastAsia="Calibri" w:hAnsi="Arial" w:cs="Times New Roman"/>
          <w:sz w:val="24"/>
          <w:lang w:val="en-US"/>
        </w:rPr>
        <w:t xml:space="preserve"> fundraising, marketing or</w:t>
      </w:r>
      <w:r w:rsidRPr="005106DF">
        <w:rPr>
          <w:rFonts w:ascii="Arial" w:eastAsia="Calibri" w:hAnsi="Arial" w:cs="Times New Roman"/>
          <w:sz w:val="24"/>
          <w:lang w:val="en-US"/>
        </w:rPr>
        <w:t xml:space="preserve"> publicity.</w:t>
      </w:r>
    </w:p>
    <w:p w14:paraId="41828452" w14:textId="29CA3512" w:rsidR="00953DB5" w:rsidRDefault="00953DB5" w:rsidP="005106DF">
      <w:pPr>
        <w:spacing w:after="0" w:line="240" w:lineRule="auto"/>
        <w:rPr>
          <w:rFonts w:ascii="Arial" w:eastAsia="Calibri" w:hAnsi="Arial" w:cs="Times New Roman"/>
          <w:sz w:val="24"/>
          <w:lang w:val="en-US"/>
        </w:rPr>
      </w:pPr>
    </w:p>
    <w:p w14:paraId="48E8FD36" w14:textId="3B781554" w:rsidR="005106DF" w:rsidRPr="005C5DE8" w:rsidRDefault="00953DB5" w:rsidP="005C5DE8">
      <w:pPr>
        <w:pStyle w:val="Heading2"/>
        <w:rPr>
          <w:rFonts w:eastAsia="Calibri"/>
          <w:lang w:val="en"/>
        </w:rPr>
      </w:pPr>
      <w:bookmarkStart w:id="8" w:name="_Toc3205986"/>
      <w:r w:rsidRPr="00953DB5">
        <w:rPr>
          <w:rFonts w:eastAsia="Calibri"/>
          <w:lang w:val="en"/>
        </w:rPr>
        <w:t>4. Service Delivery</w:t>
      </w:r>
      <w:bookmarkEnd w:id="8"/>
    </w:p>
    <w:p w14:paraId="0CB0540D" w14:textId="77777777"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4.1 Service users can choose where, when and what services they receive and are to be informed of the implications for any funding on the decision whether to travel to a service or receive it at home or elsewhere.</w:t>
      </w:r>
    </w:p>
    <w:p w14:paraId="63953895" w14:textId="77777777" w:rsidR="00953DB5" w:rsidRPr="00953DB5" w:rsidRDefault="00953DB5" w:rsidP="00953DB5">
      <w:pPr>
        <w:spacing w:after="0" w:line="240" w:lineRule="auto"/>
        <w:rPr>
          <w:rFonts w:ascii="Arial" w:eastAsia="Calibri" w:hAnsi="Arial" w:cs="Times New Roman"/>
          <w:sz w:val="24"/>
          <w:lang w:val="en"/>
        </w:rPr>
      </w:pPr>
    </w:p>
    <w:p w14:paraId="6EA89F5E" w14:textId="44DEFB54"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4.2 Timeline: It is reasonable to expect that a person inquiring about or enrolling for a service be given a realistic estimate of the time they will need to wait for any assessment, report or commencement of service. Service users should know when they can</w:t>
      </w:r>
      <w:r w:rsidR="006B15E5">
        <w:rPr>
          <w:rFonts w:ascii="Arial" w:eastAsia="Calibri" w:hAnsi="Arial" w:cs="Times New Roman"/>
          <w:sz w:val="24"/>
          <w:lang w:val="en"/>
        </w:rPr>
        <w:t xml:space="preserve"> expect their service to start a</w:t>
      </w:r>
      <w:r w:rsidRPr="00953DB5">
        <w:rPr>
          <w:rFonts w:ascii="Arial" w:eastAsia="Calibri" w:hAnsi="Arial" w:cs="Times New Roman"/>
          <w:sz w:val="24"/>
          <w:lang w:val="en"/>
        </w:rPr>
        <w:t>nd its duration and be informed of any significant alterations to this timeframe.</w:t>
      </w:r>
    </w:p>
    <w:p w14:paraId="55F6C0EC" w14:textId="77777777" w:rsidR="00953DB5" w:rsidRPr="00953DB5" w:rsidRDefault="00953DB5" w:rsidP="00953DB5">
      <w:pPr>
        <w:spacing w:after="0" w:line="240" w:lineRule="auto"/>
        <w:rPr>
          <w:rFonts w:ascii="Arial" w:eastAsia="Calibri" w:hAnsi="Arial" w:cs="Times New Roman"/>
          <w:sz w:val="24"/>
          <w:lang w:val="en"/>
        </w:rPr>
      </w:pPr>
    </w:p>
    <w:p w14:paraId="76540D99" w14:textId="46BE8D63"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 xml:space="preserve">4.3 Service agreements: Service agreements must clearly state what will be provided and reflect what has been requested. It is recommended that sample service agreements be published in a range of accessible formats, including indications of the elements that can be varied. Service agreements need to be flexible to meet individual needs and circumstances. Service agreements are to be designed to </w:t>
      </w:r>
      <w:proofErr w:type="gramStart"/>
      <w:r w:rsidRPr="00953DB5">
        <w:rPr>
          <w:rFonts w:ascii="Arial" w:eastAsia="Calibri" w:hAnsi="Arial" w:cs="Times New Roman"/>
          <w:sz w:val="24"/>
          <w:lang w:val="en"/>
        </w:rPr>
        <w:t>take into account</w:t>
      </w:r>
      <w:proofErr w:type="gramEnd"/>
      <w:r w:rsidRPr="00953DB5">
        <w:rPr>
          <w:rFonts w:ascii="Arial" w:eastAsia="Calibri" w:hAnsi="Arial" w:cs="Times New Roman"/>
          <w:sz w:val="24"/>
          <w:lang w:val="en"/>
        </w:rPr>
        <w:t xml:space="preserve"> a service user's health and any other disabilities, cultural background, lived experience, living arrangements and roles within the community. Where individual characteristics cannot be accommodated, this needs to be clearly explained to the service user. An </w:t>
      </w:r>
      <w:proofErr w:type="spellStart"/>
      <w:r w:rsidRPr="00953DB5">
        <w:rPr>
          <w:rFonts w:ascii="Arial" w:eastAsia="Calibri" w:hAnsi="Arial" w:cs="Times New Roman"/>
          <w:sz w:val="24"/>
          <w:lang w:val="en"/>
        </w:rPr>
        <w:t>individualised</w:t>
      </w:r>
      <w:proofErr w:type="spellEnd"/>
      <w:r w:rsidRPr="00953DB5">
        <w:rPr>
          <w:rFonts w:ascii="Arial" w:eastAsia="Calibri" w:hAnsi="Arial" w:cs="Times New Roman"/>
          <w:sz w:val="24"/>
          <w:lang w:val="en"/>
        </w:rPr>
        <w:t xml:space="preserve"> service agreement must be provided to the service user, in their preferred format, before or at the time of signing. Service agreements should clearly state what costs, if any, will be incurred and how and when they are to be paid. Minimum notice periods for cancellation of appointments, canc</w:t>
      </w:r>
      <w:r w:rsidR="0072578B">
        <w:rPr>
          <w:rFonts w:ascii="Arial" w:eastAsia="Calibri" w:hAnsi="Arial" w:cs="Times New Roman"/>
          <w:sz w:val="24"/>
          <w:lang w:val="en"/>
        </w:rPr>
        <w:t>ellation fees and exit fees should</w:t>
      </w:r>
      <w:r w:rsidRPr="00953DB5">
        <w:rPr>
          <w:rFonts w:ascii="Arial" w:eastAsia="Calibri" w:hAnsi="Arial" w:cs="Times New Roman"/>
          <w:sz w:val="24"/>
          <w:lang w:val="en"/>
        </w:rPr>
        <w:t xml:space="preserve"> be detailed.</w:t>
      </w:r>
    </w:p>
    <w:p w14:paraId="5129E16A" w14:textId="77777777" w:rsidR="00953DB5" w:rsidRDefault="00953DB5" w:rsidP="00927292">
      <w:pPr>
        <w:spacing w:after="0" w:line="240" w:lineRule="auto"/>
        <w:rPr>
          <w:rFonts w:ascii="Arial" w:eastAsia="Calibri" w:hAnsi="Arial" w:cs="Times New Roman"/>
          <w:sz w:val="24"/>
          <w:lang w:val="en-US"/>
        </w:rPr>
      </w:pPr>
    </w:p>
    <w:p w14:paraId="19D57A1E" w14:textId="041394DD" w:rsidR="00953DB5" w:rsidRDefault="00953DB5" w:rsidP="00953DB5">
      <w:pPr>
        <w:spacing w:after="0" w:line="240" w:lineRule="auto"/>
        <w:rPr>
          <w:rFonts w:ascii="Arial" w:eastAsia="Calibri" w:hAnsi="Arial" w:cs="Times New Roman"/>
          <w:sz w:val="24"/>
          <w:lang w:val="en-US"/>
        </w:rPr>
      </w:pPr>
      <w:r w:rsidRPr="00953DB5">
        <w:rPr>
          <w:rFonts w:ascii="Arial" w:eastAsia="Calibri" w:hAnsi="Arial" w:cs="Times New Roman"/>
          <w:sz w:val="24"/>
          <w:lang w:val="en-US"/>
        </w:rPr>
        <w:t xml:space="preserve">4.4 Pricing: The costs of services and products and any cancellation or exit fees should be </w:t>
      </w:r>
      <w:proofErr w:type="spellStart"/>
      <w:r w:rsidRPr="00953DB5">
        <w:rPr>
          <w:rFonts w:ascii="Arial" w:eastAsia="Calibri" w:hAnsi="Arial" w:cs="Times New Roman"/>
          <w:sz w:val="24"/>
          <w:lang w:val="en-US"/>
        </w:rPr>
        <w:t>publicised</w:t>
      </w:r>
      <w:proofErr w:type="spellEnd"/>
      <w:r w:rsidRPr="00953DB5">
        <w:rPr>
          <w:rFonts w:ascii="Arial" w:eastAsia="Calibri" w:hAnsi="Arial" w:cs="Times New Roman"/>
          <w:sz w:val="24"/>
          <w:lang w:val="en-US"/>
        </w:rPr>
        <w:t xml:space="preserve">. </w:t>
      </w:r>
      <w:r w:rsidR="0072578B">
        <w:rPr>
          <w:rFonts w:ascii="Arial" w:eastAsia="Calibri" w:hAnsi="Arial" w:cs="Times New Roman"/>
          <w:sz w:val="24"/>
          <w:lang w:val="en-US"/>
        </w:rPr>
        <w:t>It is desirable that pricing policy</w:t>
      </w:r>
      <w:r w:rsidRPr="00953DB5">
        <w:rPr>
          <w:rFonts w:ascii="Arial" w:eastAsia="Calibri" w:hAnsi="Arial" w:cs="Times New Roman"/>
          <w:sz w:val="24"/>
          <w:lang w:val="en-US"/>
        </w:rPr>
        <w:t xml:space="preserve"> be transparent. Service users </w:t>
      </w:r>
      <w:r w:rsidR="0072578B">
        <w:rPr>
          <w:rFonts w:ascii="Arial" w:eastAsia="Calibri" w:hAnsi="Arial" w:cs="Times New Roman"/>
          <w:sz w:val="24"/>
          <w:lang w:val="en-US"/>
        </w:rPr>
        <w:t>need to</w:t>
      </w:r>
      <w:r w:rsidRPr="00953DB5">
        <w:rPr>
          <w:rFonts w:ascii="Arial" w:eastAsia="Calibri" w:hAnsi="Arial" w:cs="Times New Roman"/>
          <w:sz w:val="24"/>
          <w:lang w:val="en-US"/>
        </w:rPr>
        <w:t xml:space="preserve"> be able to compare and seek explanations for differences in pricing between particular s</w:t>
      </w:r>
      <w:r>
        <w:rPr>
          <w:rFonts w:ascii="Arial" w:eastAsia="Calibri" w:hAnsi="Arial" w:cs="Times New Roman"/>
          <w:sz w:val="24"/>
          <w:lang w:val="en-US"/>
        </w:rPr>
        <w:t>ervice providers or locations.</w:t>
      </w:r>
    </w:p>
    <w:p w14:paraId="69C08571" w14:textId="3B6E9D04" w:rsidR="00953DB5" w:rsidRDefault="00953DB5" w:rsidP="00953DB5">
      <w:pPr>
        <w:spacing w:after="0" w:line="240" w:lineRule="auto"/>
        <w:rPr>
          <w:rFonts w:ascii="Arial" w:eastAsia="Calibri" w:hAnsi="Arial" w:cs="Times New Roman"/>
          <w:sz w:val="24"/>
          <w:lang w:val="en-US"/>
        </w:rPr>
      </w:pPr>
    </w:p>
    <w:p w14:paraId="1D8A7EFE" w14:textId="302750ED" w:rsidR="00953DB5" w:rsidRPr="00EA5D22" w:rsidRDefault="00953DB5" w:rsidP="00953DB5">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4.5 Service Quality: </w:t>
      </w:r>
      <w:r w:rsidRPr="00EA5D22">
        <w:rPr>
          <w:rFonts w:ascii="Arial" w:eastAsia="Calibri" w:hAnsi="Arial" w:cs="Times New Roman"/>
          <w:sz w:val="24"/>
          <w:lang w:val="en-US"/>
        </w:rPr>
        <w:t>BCA expects that all services will be delivered to a high standard of safety and quality by suitably qualified, experienced and resourced staff.</w:t>
      </w:r>
    </w:p>
    <w:p w14:paraId="2DBA8F04" w14:textId="77777777" w:rsidR="00953DB5" w:rsidRPr="00953DB5" w:rsidRDefault="00953DB5" w:rsidP="00953DB5">
      <w:pPr>
        <w:spacing w:after="0" w:line="240" w:lineRule="auto"/>
        <w:rPr>
          <w:rFonts w:ascii="Arial" w:eastAsia="Calibri" w:hAnsi="Arial" w:cs="Times New Roman"/>
          <w:sz w:val="24"/>
          <w:lang w:val="en-US"/>
        </w:rPr>
      </w:pPr>
    </w:p>
    <w:p w14:paraId="690D562E" w14:textId="1191823E" w:rsidR="00953DB5" w:rsidRPr="00953DB5" w:rsidRDefault="00953DB5" w:rsidP="00953DB5">
      <w:pPr>
        <w:spacing w:after="0" w:line="240" w:lineRule="auto"/>
        <w:rPr>
          <w:rFonts w:ascii="Arial" w:eastAsia="Calibri" w:hAnsi="Arial" w:cs="Times New Roman"/>
          <w:sz w:val="24"/>
          <w:lang w:val="en-US"/>
        </w:rPr>
      </w:pPr>
      <w:r>
        <w:rPr>
          <w:rFonts w:ascii="Arial" w:eastAsia="Calibri" w:hAnsi="Arial" w:cs="Times New Roman"/>
          <w:sz w:val="24"/>
          <w:lang w:val="en-US"/>
        </w:rPr>
        <w:t>4.6</w:t>
      </w:r>
      <w:r w:rsidR="00795C03">
        <w:rPr>
          <w:rFonts w:ascii="Arial" w:eastAsia="Calibri" w:hAnsi="Arial" w:cs="Times New Roman"/>
          <w:sz w:val="24"/>
          <w:lang w:val="en-US"/>
        </w:rPr>
        <w:t xml:space="preserve"> Invoicing: Invoices are to</w:t>
      </w:r>
      <w:r w:rsidRPr="00953DB5">
        <w:rPr>
          <w:rFonts w:ascii="Arial" w:eastAsia="Calibri" w:hAnsi="Arial" w:cs="Times New Roman"/>
          <w:sz w:val="24"/>
          <w:lang w:val="en-US"/>
        </w:rPr>
        <w:t xml:space="preserve"> be provided to the service user or their billing contact in a t</w:t>
      </w:r>
      <w:r>
        <w:rPr>
          <w:rFonts w:ascii="Arial" w:eastAsia="Calibri" w:hAnsi="Arial" w:cs="Times New Roman"/>
          <w:sz w:val="24"/>
          <w:lang w:val="en-US"/>
        </w:rPr>
        <w:t>imely manner, no more than one month</w:t>
      </w:r>
      <w:r w:rsidRPr="00953DB5">
        <w:rPr>
          <w:rFonts w:ascii="Arial" w:eastAsia="Calibri" w:hAnsi="Arial" w:cs="Times New Roman"/>
          <w:sz w:val="24"/>
          <w:lang w:val="en-US"/>
        </w:rPr>
        <w:t xml:space="preserve"> after the service has been delivered. Service users </w:t>
      </w:r>
      <w:r w:rsidR="00E2392D">
        <w:rPr>
          <w:rFonts w:ascii="Arial" w:eastAsia="Calibri" w:hAnsi="Arial" w:cs="Times New Roman"/>
          <w:sz w:val="24"/>
          <w:lang w:val="en-US"/>
        </w:rPr>
        <w:t>are to</w:t>
      </w:r>
      <w:r w:rsidRPr="00953DB5">
        <w:rPr>
          <w:rFonts w:ascii="Arial" w:eastAsia="Calibri" w:hAnsi="Arial" w:cs="Times New Roman"/>
          <w:sz w:val="24"/>
          <w:lang w:val="en-US"/>
        </w:rPr>
        <w:t xml:space="preserve"> receive invoices in their preferred format. Invoices must be </w:t>
      </w:r>
      <w:proofErr w:type="spellStart"/>
      <w:r w:rsidRPr="00953DB5">
        <w:rPr>
          <w:rFonts w:ascii="Arial" w:eastAsia="Calibri" w:hAnsi="Arial" w:cs="Times New Roman"/>
          <w:sz w:val="24"/>
          <w:lang w:val="en-US"/>
        </w:rPr>
        <w:t>item</w:t>
      </w:r>
      <w:r>
        <w:rPr>
          <w:rFonts w:ascii="Arial" w:eastAsia="Calibri" w:hAnsi="Arial" w:cs="Times New Roman"/>
          <w:sz w:val="24"/>
          <w:lang w:val="en-US"/>
        </w:rPr>
        <w:t>ised</w:t>
      </w:r>
      <w:proofErr w:type="spellEnd"/>
      <w:r>
        <w:rPr>
          <w:rFonts w:ascii="Arial" w:eastAsia="Calibri" w:hAnsi="Arial" w:cs="Times New Roman"/>
          <w:sz w:val="24"/>
          <w:lang w:val="en-US"/>
        </w:rPr>
        <w:t>, so that it is evident</w:t>
      </w:r>
      <w:r w:rsidRPr="00953DB5">
        <w:rPr>
          <w:rFonts w:ascii="Arial" w:eastAsia="Calibri" w:hAnsi="Arial" w:cs="Times New Roman"/>
          <w:sz w:val="24"/>
          <w:lang w:val="en-US"/>
        </w:rPr>
        <w:t xml:space="preserve"> what has been charged, including any administration fees. </w:t>
      </w:r>
    </w:p>
    <w:p w14:paraId="3FB018B9" w14:textId="77777777" w:rsidR="00953DB5" w:rsidRPr="00953DB5" w:rsidRDefault="00953DB5" w:rsidP="00953DB5">
      <w:pPr>
        <w:spacing w:after="0" w:line="240" w:lineRule="auto"/>
        <w:rPr>
          <w:rFonts w:ascii="Arial" w:eastAsia="Calibri" w:hAnsi="Arial" w:cs="Times New Roman"/>
          <w:sz w:val="24"/>
          <w:lang w:val="en-US"/>
        </w:rPr>
      </w:pPr>
    </w:p>
    <w:p w14:paraId="53D2C44E" w14:textId="3156C2C3" w:rsidR="000B0B73" w:rsidRDefault="00953DB5" w:rsidP="00953DB5">
      <w:pPr>
        <w:spacing w:after="0" w:line="240" w:lineRule="auto"/>
        <w:rPr>
          <w:rFonts w:ascii="Arial" w:eastAsia="Calibri" w:hAnsi="Arial" w:cs="Times New Roman"/>
          <w:sz w:val="24"/>
          <w:lang w:val="en-US"/>
        </w:rPr>
      </w:pPr>
      <w:r>
        <w:rPr>
          <w:rFonts w:ascii="Arial" w:eastAsia="Calibri" w:hAnsi="Arial" w:cs="Times New Roman"/>
          <w:sz w:val="24"/>
          <w:lang w:val="en-US"/>
        </w:rPr>
        <w:t>4.7</w:t>
      </w:r>
      <w:r w:rsidRPr="00953DB5">
        <w:rPr>
          <w:rFonts w:ascii="Arial" w:eastAsia="Calibri" w:hAnsi="Arial" w:cs="Times New Roman"/>
          <w:sz w:val="24"/>
          <w:lang w:val="en-US"/>
        </w:rPr>
        <w:t xml:space="preserve"> Interactions with service users: It is best practice that any employee of a service provider who interacts with a service user introduce themselves and explain their role. When working with a service user, they should clearly explain what they are doing and why. If they record a session or take photos, they are obliged to state that they are doing this</w:t>
      </w:r>
      <w:r w:rsidR="00EA5D22">
        <w:rPr>
          <w:rFonts w:ascii="Arial" w:eastAsia="Calibri" w:hAnsi="Arial" w:cs="Times New Roman"/>
          <w:sz w:val="24"/>
          <w:lang w:val="en-US"/>
        </w:rPr>
        <w:t>, and for what purpose;</w:t>
      </w:r>
      <w:r w:rsidRPr="00953DB5">
        <w:rPr>
          <w:rFonts w:ascii="Arial" w:eastAsia="Calibri" w:hAnsi="Arial" w:cs="Times New Roman"/>
          <w:sz w:val="24"/>
          <w:lang w:val="en-US"/>
        </w:rPr>
        <w:t xml:space="preserve"> the service user has the right to ask them to desist</w:t>
      </w:r>
      <w:r w:rsidR="00795C03">
        <w:rPr>
          <w:rFonts w:ascii="Arial" w:eastAsia="Calibri" w:hAnsi="Arial" w:cs="Times New Roman"/>
          <w:sz w:val="24"/>
          <w:lang w:val="en-US"/>
        </w:rPr>
        <w:t>.</w:t>
      </w:r>
    </w:p>
    <w:p w14:paraId="4B209F94" w14:textId="6E8BE9BC" w:rsidR="00953DB5" w:rsidRDefault="00953DB5" w:rsidP="00953DB5">
      <w:pPr>
        <w:spacing w:after="0" w:line="240" w:lineRule="auto"/>
        <w:rPr>
          <w:rFonts w:ascii="Arial" w:eastAsia="Calibri" w:hAnsi="Arial" w:cs="Times New Roman"/>
          <w:sz w:val="24"/>
          <w:lang w:val="en-US"/>
        </w:rPr>
      </w:pPr>
    </w:p>
    <w:p w14:paraId="7C603112" w14:textId="62EADC45" w:rsidR="00953DB5" w:rsidRPr="005C5DE8" w:rsidRDefault="00953DB5" w:rsidP="005C5DE8">
      <w:pPr>
        <w:pStyle w:val="Heading2"/>
        <w:rPr>
          <w:rFonts w:eastAsia="Calibri"/>
          <w:lang w:val="en"/>
        </w:rPr>
      </w:pPr>
      <w:bookmarkStart w:id="9" w:name="_Toc3205987"/>
      <w:r w:rsidRPr="00953DB5">
        <w:rPr>
          <w:rFonts w:eastAsia="Calibri"/>
          <w:lang w:val="en"/>
        </w:rPr>
        <w:t>5. Product sales:</w:t>
      </w:r>
      <w:bookmarkEnd w:id="9"/>
    </w:p>
    <w:p w14:paraId="11478956" w14:textId="77777777"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5.1 Where a blindness Service provider sells products, they must clarify the extent to which Australian Consumer Law applies.</w:t>
      </w:r>
    </w:p>
    <w:p w14:paraId="006C5D38" w14:textId="77777777" w:rsidR="00953DB5" w:rsidRPr="00953DB5" w:rsidRDefault="00953DB5" w:rsidP="00953DB5">
      <w:pPr>
        <w:spacing w:after="0" w:line="240" w:lineRule="auto"/>
        <w:rPr>
          <w:rFonts w:ascii="Arial" w:eastAsia="Calibri" w:hAnsi="Arial" w:cs="Times New Roman"/>
          <w:sz w:val="24"/>
          <w:lang w:val="en"/>
        </w:rPr>
      </w:pPr>
    </w:p>
    <w:p w14:paraId="5840F0EE" w14:textId="77777777"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5.2 Information about the blindness service provider’s policies on warranties, returns and refunds is to be published widely in a range of formats and to be made available at the point of sale in the service user’s preferred format.</w:t>
      </w:r>
    </w:p>
    <w:p w14:paraId="4E67AE28" w14:textId="77777777" w:rsidR="00953DB5" w:rsidRPr="00953DB5" w:rsidRDefault="00953DB5" w:rsidP="00953DB5">
      <w:pPr>
        <w:spacing w:after="0" w:line="240" w:lineRule="auto"/>
        <w:rPr>
          <w:rFonts w:ascii="Arial" w:eastAsia="Calibri" w:hAnsi="Arial" w:cs="Times New Roman"/>
          <w:sz w:val="24"/>
          <w:lang w:val="en"/>
        </w:rPr>
      </w:pPr>
    </w:p>
    <w:p w14:paraId="7A9115B6" w14:textId="75D818F3" w:rsid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 xml:space="preserve">5.3 Appropriate after-sales service and training where appropriate must be provided to a service user who purchases a product. </w:t>
      </w:r>
    </w:p>
    <w:p w14:paraId="7E420CAC" w14:textId="1C655BAC" w:rsidR="0072578B" w:rsidRDefault="0072578B" w:rsidP="00953DB5">
      <w:pPr>
        <w:spacing w:after="0" w:line="240" w:lineRule="auto"/>
        <w:rPr>
          <w:rFonts w:ascii="Arial" w:eastAsia="Calibri" w:hAnsi="Arial" w:cs="Times New Roman"/>
          <w:sz w:val="24"/>
          <w:lang w:val="en"/>
        </w:rPr>
      </w:pPr>
    </w:p>
    <w:p w14:paraId="06B278B1" w14:textId="58EFB64E" w:rsidR="0072578B" w:rsidRPr="00953DB5" w:rsidRDefault="0072578B" w:rsidP="00953DB5">
      <w:pPr>
        <w:spacing w:after="0" w:line="240" w:lineRule="auto"/>
        <w:rPr>
          <w:rFonts w:ascii="Arial" w:eastAsia="Calibri" w:hAnsi="Arial" w:cs="Times New Roman"/>
          <w:sz w:val="24"/>
          <w:lang w:val="en"/>
        </w:rPr>
      </w:pPr>
      <w:r>
        <w:rPr>
          <w:rFonts w:ascii="Arial" w:eastAsia="Calibri" w:hAnsi="Arial" w:cs="Times New Roman"/>
          <w:sz w:val="24"/>
          <w:lang w:val="en"/>
        </w:rPr>
        <w:t xml:space="preserve">5.4 </w:t>
      </w:r>
      <w:r w:rsidR="00EA5D22">
        <w:rPr>
          <w:rFonts w:ascii="Arial" w:eastAsia="Calibri" w:hAnsi="Arial" w:cs="Times New Roman"/>
          <w:sz w:val="24"/>
          <w:lang w:val="en"/>
        </w:rPr>
        <w:t>Where a blindness s</w:t>
      </w:r>
      <w:r w:rsidRPr="0072578B">
        <w:rPr>
          <w:rFonts w:ascii="Arial" w:eastAsia="Calibri" w:hAnsi="Arial" w:cs="Times New Roman"/>
          <w:sz w:val="24"/>
          <w:lang w:val="en"/>
        </w:rPr>
        <w:t>ervice provider sells products, they must declare any actual or reasonably perceivable conflict of interest that may affect the design, cost and extent of the services they offer.</w:t>
      </w:r>
    </w:p>
    <w:p w14:paraId="0892C750" w14:textId="65F11CD3" w:rsidR="00953DB5" w:rsidRDefault="00953DB5" w:rsidP="00953DB5">
      <w:pPr>
        <w:spacing w:after="0" w:line="240" w:lineRule="auto"/>
        <w:rPr>
          <w:rFonts w:ascii="Arial" w:eastAsia="Calibri" w:hAnsi="Arial" w:cs="Times New Roman"/>
          <w:sz w:val="24"/>
          <w:lang w:val="en-US"/>
        </w:rPr>
      </w:pPr>
    </w:p>
    <w:p w14:paraId="6DEBA5C3" w14:textId="60EC116F" w:rsidR="00953DB5" w:rsidRPr="005C5DE8" w:rsidRDefault="00953DB5" w:rsidP="005C5DE8">
      <w:pPr>
        <w:pStyle w:val="Heading2"/>
        <w:rPr>
          <w:rFonts w:eastAsia="Calibri"/>
          <w:lang w:val="en"/>
        </w:rPr>
      </w:pPr>
      <w:bookmarkStart w:id="10" w:name="_Toc3205988"/>
      <w:r w:rsidRPr="00953DB5">
        <w:rPr>
          <w:rFonts w:eastAsia="Calibri"/>
          <w:lang w:val="en"/>
        </w:rPr>
        <w:t>6. Communications and access to information</w:t>
      </w:r>
      <w:bookmarkEnd w:id="10"/>
    </w:p>
    <w:p w14:paraId="0B021E20" w14:textId="3E2965B9"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6.1 Service users have a right to access all communications produced by a blindness service provider, including</w:t>
      </w:r>
      <w:r w:rsidR="00EA5D22">
        <w:rPr>
          <w:rFonts w:ascii="Arial" w:eastAsia="Calibri" w:hAnsi="Arial" w:cs="Times New Roman"/>
          <w:sz w:val="24"/>
          <w:lang w:val="en"/>
        </w:rPr>
        <w:t>:</w:t>
      </w:r>
      <w:r>
        <w:rPr>
          <w:rFonts w:ascii="Arial" w:eastAsia="Calibri" w:hAnsi="Arial" w:cs="Times New Roman"/>
          <w:sz w:val="24"/>
          <w:lang w:val="en"/>
        </w:rPr>
        <w:t xml:space="preserve"> social media</w:t>
      </w:r>
      <w:r w:rsidR="00795C03">
        <w:rPr>
          <w:rFonts w:ascii="Arial" w:eastAsia="Calibri" w:hAnsi="Arial" w:cs="Times New Roman"/>
          <w:sz w:val="24"/>
          <w:lang w:val="en"/>
        </w:rPr>
        <w:t>,</w:t>
      </w:r>
      <w:r w:rsidRPr="00953DB5">
        <w:rPr>
          <w:rFonts w:ascii="Arial" w:eastAsia="Calibri" w:hAnsi="Arial" w:cs="Times New Roman"/>
          <w:sz w:val="24"/>
          <w:lang w:val="en"/>
        </w:rPr>
        <w:t xml:space="preserve"> websites, newsletters, forms, service information, complaints procedures, governance and nomination processes</w:t>
      </w:r>
      <w:r w:rsidR="00EA5D22">
        <w:rPr>
          <w:rFonts w:ascii="Arial" w:eastAsia="Calibri" w:hAnsi="Arial" w:cs="Times New Roman"/>
          <w:sz w:val="24"/>
          <w:lang w:val="en"/>
        </w:rPr>
        <w:t>,</w:t>
      </w:r>
      <w:r w:rsidRPr="00953DB5">
        <w:rPr>
          <w:rFonts w:ascii="Arial" w:eastAsia="Calibri" w:hAnsi="Arial" w:cs="Times New Roman"/>
          <w:sz w:val="24"/>
          <w:lang w:val="en"/>
        </w:rPr>
        <w:t xml:space="preserve"> in accessible formats.</w:t>
      </w:r>
      <w:r w:rsidR="00D967CB">
        <w:rPr>
          <w:rFonts w:ascii="Arial" w:eastAsia="Calibri" w:hAnsi="Arial" w:cs="Times New Roman"/>
          <w:sz w:val="24"/>
          <w:lang w:val="en"/>
        </w:rPr>
        <w:t xml:space="preserve"> Any image used in these</w:t>
      </w:r>
      <w:r w:rsidR="00795C03">
        <w:rPr>
          <w:rFonts w:ascii="Arial" w:eastAsia="Calibri" w:hAnsi="Arial" w:cs="Times New Roman"/>
          <w:sz w:val="24"/>
          <w:lang w:val="en"/>
        </w:rPr>
        <w:t xml:space="preserve"> materials must be described.</w:t>
      </w:r>
      <w:r w:rsidRPr="00953DB5">
        <w:rPr>
          <w:rFonts w:ascii="Arial" w:eastAsia="Calibri" w:hAnsi="Arial" w:cs="Times New Roman"/>
          <w:sz w:val="24"/>
          <w:lang w:val="en"/>
        </w:rPr>
        <w:t xml:space="preserve"> Digital resources should be easy to navigate independently and accessible via a range of devices, web browsers and adaptive software. Bl</w:t>
      </w:r>
      <w:r w:rsidR="0072578B">
        <w:rPr>
          <w:rFonts w:ascii="Arial" w:eastAsia="Calibri" w:hAnsi="Arial" w:cs="Times New Roman"/>
          <w:sz w:val="24"/>
          <w:lang w:val="en"/>
        </w:rPr>
        <w:t>indness service providers are encouraged to</w:t>
      </w:r>
      <w:r w:rsidRPr="00953DB5">
        <w:rPr>
          <w:rFonts w:ascii="Arial" w:eastAsia="Calibri" w:hAnsi="Arial" w:cs="Times New Roman"/>
          <w:sz w:val="24"/>
          <w:lang w:val="en"/>
        </w:rPr>
        <w:t xml:space="preserve"> regularly </w:t>
      </w:r>
      <w:proofErr w:type="spellStart"/>
      <w:r w:rsidRPr="00953DB5">
        <w:rPr>
          <w:rFonts w:ascii="Arial" w:eastAsia="Calibri" w:hAnsi="Arial" w:cs="Times New Roman"/>
          <w:sz w:val="24"/>
          <w:lang w:val="en"/>
        </w:rPr>
        <w:t>publicise</w:t>
      </w:r>
      <w:proofErr w:type="spellEnd"/>
      <w:r w:rsidRPr="00953DB5">
        <w:rPr>
          <w:rFonts w:ascii="Arial" w:eastAsia="Calibri" w:hAnsi="Arial" w:cs="Times New Roman"/>
          <w:sz w:val="24"/>
          <w:lang w:val="en"/>
        </w:rPr>
        <w:t xml:space="preserve"> these methods of communication. </w:t>
      </w:r>
    </w:p>
    <w:p w14:paraId="6B4A56B6" w14:textId="77777777"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 xml:space="preserve"> </w:t>
      </w:r>
    </w:p>
    <w:p w14:paraId="1DED80F3" w14:textId="7CE34F2F"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t>6.2 Docu</w:t>
      </w:r>
      <w:r w:rsidR="00EA5D22">
        <w:rPr>
          <w:rFonts w:ascii="Arial" w:eastAsia="Calibri" w:hAnsi="Arial" w:cs="Times New Roman"/>
          <w:sz w:val="24"/>
          <w:lang w:val="en"/>
        </w:rPr>
        <w:t xml:space="preserve">ments relating to a </w:t>
      </w:r>
      <w:r w:rsidRPr="00953DB5">
        <w:rPr>
          <w:rFonts w:ascii="Arial" w:eastAsia="Calibri" w:hAnsi="Arial" w:cs="Times New Roman"/>
          <w:sz w:val="24"/>
          <w:lang w:val="en"/>
        </w:rPr>
        <w:t xml:space="preserve">service user </w:t>
      </w:r>
      <w:r w:rsidR="00795C03">
        <w:rPr>
          <w:rFonts w:ascii="Arial" w:eastAsia="Calibri" w:hAnsi="Arial" w:cs="Times New Roman"/>
          <w:sz w:val="24"/>
          <w:lang w:val="en"/>
        </w:rPr>
        <w:t>must</w:t>
      </w:r>
      <w:r w:rsidRPr="00953DB5">
        <w:rPr>
          <w:rFonts w:ascii="Arial" w:eastAsia="Calibri" w:hAnsi="Arial" w:cs="Times New Roman"/>
          <w:sz w:val="24"/>
          <w:lang w:val="en"/>
        </w:rPr>
        <w:t xml:space="preserve"> be provided to the individual in their preferred format.</w:t>
      </w:r>
    </w:p>
    <w:p w14:paraId="3B78B56E" w14:textId="77777777" w:rsidR="00953DB5" w:rsidRPr="00953DB5" w:rsidRDefault="00953DB5" w:rsidP="00953DB5">
      <w:pPr>
        <w:spacing w:after="0" w:line="240" w:lineRule="auto"/>
        <w:rPr>
          <w:rFonts w:ascii="Arial" w:eastAsia="Calibri" w:hAnsi="Arial" w:cs="Times New Roman"/>
          <w:sz w:val="24"/>
          <w:lang w:val="en"/>
        </w:rPr>
      </w:pPr>
    </w:p>
    <w:p w14:paraId="20D51DEC" w14:textId="77777777" w:rsidR="00953DB5" w:rsidRPr="00953DB5" w:rsidRDefault="00953DB5" w:rsidP="00953DB5">
      <w:pPr>
        <w:spacing w:after="0" w:line="240" w:lineRule="auto"/>
        <w:rPr>
          <w:rFonts w:ascii="Arial" w:eastAsia="Calibri" w:hAnsi="Arial" w:cs="Times New Roman"/>
          <w:sz w:val="24"/>
          <w:lang w:val="en"/>
        </w:rPr>
      </w:pPr>
      <w:r w:rsidRPr="00953DB5">
        <w:rPr>
          <w:rFonts w:ascii="Arial" w:eastAsia="Calibri" w:hAnsi="Arial" w:cs="Times New Roman"/>
          <w:sz w:val="24"/>
          <w:lang w:val="en"/>
        </w:rPr>
        <w:lastRenderedPageBreak/>
        <w:t xml:space="preserve">6.3 It is a requirement that all video material produced by service providers be audio described and that transcripts be available. </w:t>
      </w:r>
    </w:p>
    <w:p w14:paraId="1D1E1B83" w14:textId="2F74D0D2" w:rsidR="00953DB5" w:rsidRDefault="00953DB5" w:rsidP="00EA5D22">
      <w:pPr>
        <w:spacing w:after="0" w:line="240" w:lineRule="auto"/>
        <w:rPr>
          <w:rFonts w:ascii="Arial" w:eastAsia="Calibri" w:hAnsi="Arial" w:cs="Times New Roman"/>
          <w:sz w:val="24"/>
          <w:lang w:val="en-US"/>
        </w:rPr>
      </w:pPr>
    </w:p>
    <w:p w14:paraId="5A7D29F6" w14:textId="7172F76C" w:rsidR="00795C03" w:rsidRPr="005C5DE8" w:rsidRDefault="00795C03" w:rsidP="005C5DE8">
      <w:pPr>
        <w:pStyle w:val="Heading2"/>
        <w:spacing w:before="0" w:line="240" w:lineRule="auto"/>
        <w:rPr>
          <w:rFonts w:eastAsia="Calibri"/>
          <w:lang w:val="en"/>
        </w:rPr>
      </w:pPr>
      <w:bookmarkStart w:id="11" w:name="_Toc3205989"/>
      <w:r w:rsidRPr="00795C03">
        <w:rPr>
          <w:rFonts w:eastAsia="Calibri"/>
          <w:lang w:val="en"/>
        </w:rPr>
        <w:t>7. Complaints procedures</w:t>
      </w:r>
      <w:bookmarkEnd w:id="11"/>
    </w:p>
    <w:p w14:paraId="6BD20124" w14:textId="287F7A81" w:rsidR="00795C03" w:rsidRDefault="00795C03" w:rsidP="00EA5D22">
      <w:pPr>
        <w:spacing w:after="0" w:line="240" w:lineRule="auto"/>
        <w:rPr>
          <w:rFonts w:ascii="Arial" w:eastAsia="Calibri" w:hAnsi="Arial" w:cs="Times New Roman"/>
          <w:sz w:val="24"/>
          <w:lang w:val="en"/>
        </w:rPr>
      </w:pPr>
      <w:r w:rsidRPr="00795C03">
        <w:rPr>
          <w:rFonts w:ascii="Arial" w:eastAsia="Calibri" w:hAnsi="Arial" w:cs="Times New Roman"/>
          <w:sz w:val="24"/>
          <w:lang w:val="en"/>
        </w:rPr>
        <w:t>7.1 Blindness service providers must inform all service users about and publicise their complaint procedures in accessible formats. This should include information about alternatives if a service user is not satisfied with</w:t>
      </w:r>
      <w:r w:rsidR="00EA5D22">
        <w:rPr>
          <w:rFonts w:ascii="Arial" w:eastAsia="Calibri" w:hAnsi="Arial" w:cs="Times New Roman"/>
          <w:sz w:val="24"/>
          <w:lang w:val="en"/>
        </w:rPr>
        <w:t xml:space="preserve"> internal complaints mechanisms</w:t>
      </w:r>
    </w:p>
    <w:p w14:paraId="3D8B7B15" w14:textId="77777777" w:rsidR="00EA5D22" w:rsidRPr="00795C03" w:rsidRDefault="00EA5D22" w:rsidP="00EA5D22">
      <w:pPr>
        <w:spacing w:after="0" w:line="240" w:lineRule="auto"/>
        <w:rPr>
          <w:rFonts w:ascii="Arial" w:eastAsia="Calibri" w:hAnsi="Arial" w:cs="Times New Roman"/>
          <w:sz w:val="24"/>
          <w:lang w:val="en"/>
        </w:rPr>
      </w:pPr>
    </w:p>
    <w:p w14:paraId="46203B2A" w14:textId="063548F7" w:rsidR="00EA5D22" w:rsidRDefault="00795C03" w:rsidP="00EA5D22">
      <w:pPr>
        <w:spacing w:after="0" w:line="240" w:lineRule="auto"/>
        <w:rPr>
          <w:rFonts w:ascii="Arial" w:eastAsia="Calibri" w:hAnsi="Arial" w:cs="Times New Roman"/>
          <w:sz w:val="24"/>
          <w:lang w:val="en"/>
        </w:rPr>
      </w:pPr>
      <w:r w:rsidRPr="00795C03">
        <w:rPr>
          <w:rFonts w:ascii="Arial" w:eastAsia="Calibri" w:hAnsi="Arial" w:cs="Times New Roman"/>
          <w:sz w:val="24"/>
          <w:lang w:val="en"/>
        </w:rPr>
        <w:t>7.2 Information about complaints procedures should include acknowledgement of a complainant’s right to a support person or advocate and/or an interpreter at all stages of the complaints procedure. Information about BCA and how it can hel</w:t>
      </w:r>
      <w:r>
        <w:rPr>
          <w:rFonts w:ascii="Arial" w:eastAsia="Calibri" w:hAnsi="Arial" w:cs="Times New Roman"/>
          <w:sz w:val="24"/>
          <w:lang w:val="en"/>
        </w:rPr>
        <w:t>p is to be regularly promoted.</w:t>
      </w:r>
    </w:p>
    <w:p w14:paraId="453CD8C3" w14:textId="77777777" w:rsidR="00EA5D22" w:rsidRPr="00795C03" w:rsidRDefault="00EA5D22" w:rsidP="00EA5D22">
      <w:pPr>
        <w:spacing w:after="0" w:line="240" w:lineRule="auto"/>
        <w:rPr>
          <w:rFonts w:ascii="Arial" w:eastAsia="Calibri" w:hAnsi="Arial" w:cs="Times New Roman"/>
          <w:sz w:val="24"/>
          <w:lang w:val="en"/>
        </w:rPr>
      </w:pPr>
    </w:p>
    <w:p w14:paraId="0628D98B" w14:textId="52523AC6" w:rsidR="00795C03" w:rsidRPr="00795C03" w:rsidRDefault="00795C03" w:rsidP="00EA5D22">
      <w:pPr>
        <w:spacing w:after="0" w:line="240" w:lineRule="auto"/>
        <w:rPr>
          <w:rFonts w:ascii="Arial" w:eastAsia="Calibri" w:hAnsi="Arial" w:cs="Times New Roman"/>
          <w:sz w:val="24"/>
          <w:lang w:val="en"/>
        </w:rPr>
      </w:pPr>
      <w:r w:rsidRPr="00795C03">
        <w:rPr>
          <w:rFonts w:ascii="Arial" w:eastAsia="Calibri" w:hAnsi="Arial" w:cs="Times New Roman"/>
          <w:sz w:val="24"/>
          <w:lang w:val="en"/>
        </w:rPr>
        <w:t>7.3 When a service user makes a complaint, its receipt is to be immediately acknowledged</w:t>
      </w:r>
      <w:r w:rsidR="002765E8">
        <w:rPr>
          <w:rFonts w:ascii="Arial" w:eastAsia="Calibri" w:hAnsi="Arial" w:cs="Times New Roman"/>
          <w:sz w:val="24"/>
          <w:lang w:val="en"/>
        </w:rPr>
        <w:t>,</w:t>
      </w:r>
      <w:r w:rsidRPr="00795C03">
        <w:rPr>
          <w:rFonts w:ascii="Arial" w:eastAsia="Calibri" w:hAnsi="Arial" w:cs="Times New Roman"/>
          <w:sz w:val="24"/>
          <w:lang w:val="en"/>
        </w:rPr>
        <w:t xml:space="preserve"> </w:t>
      </w:r>
      <w:r w:rsidR="002765E8">
        <w:rPr>
          <w:rFonts w:ascii="Arial" w:eastAsia="Calibri" w:hAnsi="Arial" w:cs="Times New Roman"/>
          <w:sz w:val="24"/>
          <w:lang w:val="en"/>
        </w:rPr>
        <w:t>the officer</w:t>
      </w:r>
      <w:r w:rsidRPr="00795C03">
        <w:rPr>
          <w:rFonts w:ascii="Arial" w:eastAsia="Calibri" w:hAnsi="Arial" w:cs="Times New Roman"/>
          <w:sz w:val="24"/>
          <w:lang w:val="en"/>
        </w:rPr>
        <w:t xml:space="preserve"> handling the complaint</w:t>
      </w:r>
      <w:r w:rsidR="002765E8">
        <w:rPr>
          <w:rFonts w:ascii="Arial" w:eastAsia="Calibri" w:hAnsi="Arial" w:cs="Times New Roman"/>
          <w:sz w:val="24"/>
          <w:lang w:val="en"/>
        </w:rPr>
        <w:t xml:space="preserve"> named,</w:t>
      </w:r>
      <w:r w:rsidRPr="00795C03">
        <w:rPr>
          <w:rFonts w:ascii="Arial" w:eastAsia="Calibri" w:hAnsi="Arial" w:cs="Times New Roman"/>
          <w:sz w:val="24"/>
          <w:lang w:val="en"/>
        </w:rPr>
        <w:t xml:space="preserve"> and</w:t>
      </w:r>
      <w:r w:rsidR="00EA5D22">
        <w:rPr>
          <w:rFonts w:ascii="Arial" w:eastAsia="Calibri" w:hAnsi="Arial" w:cs="Times New Roman"/>
          <w:sz w:val="24"/>
          <w:lang w:val="en"/>
        </w:rPr>
        <w:t xml:space="preserve"> </w:t>
      </w:r>
      <w:r w:rsidR="00AB2DDA">
        <w:rPr>
          <w:rFonts w:ascii="Arial" w:eastAsia="Calibri" w:hAnsi="Arial" w:cs="Times New Roman"/>
          <w:sz w:val="24"/>
          <w:lang w:val="en"/>
        </w:rPr>
        <w:t>be given a timeframe</w:t>
      </w:r>
      <w:r w:rsidRPr="00795C03">
        <w:rPr>
          <w:rFonts w:ascii="Arial" w:eastAsia="Calibri" w:hAnsi="Arial" w:cs="Times New Roman"/>
          <w:sz w:val="24"/>
          <w:lang w:val="en"/>
        </w:rPr>
        <w:t xml:space="preserve"> when to expect an outcome.</w:t>
      </w:r>
    </w:p>
    <w:p w14:paraId="682E4CB6" w14:textId="77777777" w:rsidR="00795C03" w:rsidRPr="00795C03" w:rsidRDefault="00795C03" w:rsidP="00EA5D22">
      <w:pPr>
        <w:spacing w:after="0" w:line="240" w:lineRule="auto"/>
        <w:rPr>
          <w:rFonts w:ascii="Arial" w:eastAsia="Calibri" w:hAnsi="Arial" w:cs="Times New Roman"/>
          <w:sz w:val="24"/>
          <w:lang w:val="en"/>
        </w:rPr>
      </w:pPr>
    </w:p>
    <w:p w14:paraId="5341CA31" w14:textId="69CD750A" w:rsidR="00795C03" w:rsidRDefault="00795C03" w:rsidP="00EA5D22">
      <w:pPr>
        <w:spacing w:after="0" w:line="240" w:lineRule="auto"/>
        <w:rPr>
          <w:rFonts w:ascii="Arial" w:eastAsia="Calibri" w:hAnsi="Arial" w:cs="Times New Roman"/>
          <w:sz w:val="24"/>
        </w:rPr>
      </w:pPr>
      <w:r w:rsidRPr="00795C03">
        <w:rPr>
          <w:rFonts w:ascii="Arial" w:eastAsia="Calibri" w:hAnsi="Arial" w:cs="Times New Roman"/>
          <w:sz w:val="24"/>
          <w:lang w:val="en"/>
        </w:rPr>
        <w:t xml:space="preserve">7.4 </w:t>
      </w:r>
      <w:r w:rsidRPr="00795C03">
        <w:rPr>
          <w:rFonts w:ascii="Arial" w:eastAsia="Calibri" w:hAnsi="Arial" w:cs="Times New Roman"/>
          <w:sz w:val="24"/>
        </w:rPr>
        <w:t xml:space="preserve">BCA recognises that people who are blind or vision impaired are often compelled to continue receiving services from service providers with whom they are dissatisfied, due to the absence in many locations of any alternative.  Service users need to be free to comment publicly </w:t>
      </w:r>
      <w:r w:rsidR="002765E8">
        <w:rPr>
          <w:rFonts w:ascii="Arial" w:eastAsia="Calibri" w:hAnsi="Arial" w:cs="Times New Roman"/>
          <w:sz w:val="24"/>
        </w:rPr>
        <w:t>(</w:t>
      </w:r>
      <w:r w:rsidRPr="00795C03">
        <w:rPr>
          <w:rFonts w:ascii="Arial" w:eastAsia="Calibri" w:hAnsi="Arial" w:cs="Times New Roman"/>
          <w:sz w:val="24"/>
        </w:rPr>
        <w:t>positively or critically</w:t>
      </w:r>
      <w:r w:rsidR="002765E8">
        <w:rPr>
          <w:rFonts w:ascii="Arial" w:eastAsia="Calibri" w:hAnsi="Arial" w:cs="Times New Roman"/>
          <w:sz w:val="24"/>
        </w:rPr>
        <w:t>)</w:t>
      </w:r>
      <w:r w:rsidRPr="00795C03">
        <w:rPr>
          <w:rFonts w:ascii="Arial" w:eastAsia="Calibri" w:hAnsi="Arial" w:cs="Times New Roman"/>
          <w:sz w:val="24"/>
        </w:rPr>
        <w:t xml:space="preserve"> on the services they receive. It is expected that such comments, if expressed appropriately, will not impact the service user’s</w:t>
      </w:r>
      <w:r w:rsidR="002765E8">
        <w:rPr>
          <w:rFonts w:ascii="Arial" w:eastAsia="Calibri" w:hAnsi="Arial" w:cs="Times New Roman"/>
          <w:sz w:val="24"/>
        </w:rPr>
        <w:t xml:space="preserve"> employment or</w:t>
      </w:r>
      <w:r w:rsidRPr="00795C03">
        <w:rPr>
          <w:rFonts w:ascii="Arial" w:eastAsia="Calibri" w:hAnsi="Arial" w:cs="Times New Roman"/>
          <w:sz w:val="24"/>
        </w:rPr>
        <w:t xml:space="preserve"> ability to access future services from the service provider.</w:t>
      </w:r>
    </w:p>
    <w:p w14:paraId="0A0FFEAA" w14:textId="77777777" w:rsidR="00AB2DDA" w:rsidRPr="00795C03" w:rsidRDefault="00AB2DDA" w:rsidP="00EA5D22">
      <w:pPr>
        <w:spacing w:after="0" w:line="240" w:lineRule="auto"/>
        <w:rPr>
          <w:rFonts w:ascii="Arial" w:eastAsia="Calibri" w:hAnsi="Arial" w:cs="Times New Roman"/>
          <w:sz w:val="24"/>
          <w:lang w:val="en"/>
        </w:rPr>
      </w:pPr>
    </w:p>
    <w:p w14:paraId="2DE9A162" w14:textId="38F3B73F" w:rsidR="00795C03" w:rsidRPr="005C5DE8" w:rsidRDefault="00795C03" w:rsidP="005C5DE8">
      <w:pPr>
        <w:pStyle w:val="Heading2"/>
        <w:rPr>
          <w:rFonts w:eastAsia="Calibri"/>
          <w:lang w:val="en"/>
        </w:rPr>
      </w:pPr>
      <w:bookmarkStart w:id="12" w:name="_Toc3205990"/>
      <w:r w:rsidRPr="00574B08">
        <w:rPr>
          <w:rFonts w:eastAsia="Calibri"/>
          <w:lang w:val="en"/>
        </w:rPr>
        <w:t>8. Fundraising, Marketing and Publicity</w:t>
      </w:r>
      <w:bookmarkEnd w:id="12"/>
    </w:p>
    <w:p w14:paraId="0A437B89" w14:textId="0CB56454" w:rsidR="00795C03" w:rsidRPr="00795C03"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8.1 Fundraising is integral to the operation of any blindness service provider, whether by seeking individual donations or by approaching corporate and philanthropic donors. Fundraising plays a dual role of raising money and educating the public. All fundraising, marketing and publicity material must promote people who are </w:t>
      </w:r>
      <w:proofErr w:type="gramStart"/>
      <w:r w:rsidRPr="00795C03">
        <w:rPr>
          <w:rFonts w:ascii="Arial" w:eastAsia="Calibri" w:hAnsi="Arial" w:cs="Times New Roman"/>
          <w:sz w:val="24"/>
          <w:lang w:val="en"/>
        </w:rPr>
        <w:t>blind</w:t>
      </w:r>
      <w:proofErr w:type="gramEnd"/>
      <w:r w:rsidRPr="00795C03">
        <w:rPr>
          <w:rFonts w:ascii="Arial" w:eastAsia="Calibri" w:hAnsi="Arial" w:cs="Times New Roman"/>
          <w:sz w:val="24"/>
          <w:lang w:val="en"/>
        </w:rPr>
        <w:t xml:space="preserve"> or vision impaired as valuable contributors to society. M</w:t>
      </w:r>
      <w:r w:rsidR="002765E8">
        <w:rPr>
          <w:rFonts w:ascii="Arial" w:eastAsia="Calibri" w:hAnsi="Arial" w:cs="Times New Roman"/>
          <w:sz w:val="24"/>
          <w:lang w:val="en"/>
        </w:rPr>
        <w:t>aterials can demonstrate how in</w:t>
      </w:r>
      <w:r w:rsidRPr="00795C03">
        <w:rPr>
          <w:rFonts w:ascii="Arial" w:eastAsia="Calibri" w:hAnsi="Arial" w:cs="Times New Roman"/>
          <w:sz w:val="24"/>
          <w:lang w:val="en"/>
        </w:rPr>
        <w:t xml:space="preserve">vestment in a service will empower people who are </w:t>
      </w:r>
      <w:proofErr w:type="gramStart"/>
      <w:r w:rsidRPr="00795C03">
        <w:rPr>
          <w:rFonts w:ascii="Arial" w:eastAsia="Calibri" w:hAnsi="Arial" w:cs="Times New Roman"/>
          <w:sz w:val="24"/>
          <w:lang w:val="en"/>
        </w:rPr>
        <w:t>blind</w:t>
      </w:r>
      <w:proofErr w:type="gramEnd"/>
      <w:r w:rsidRPr="00795C03">
        <w:rPr>
          <w:rFonts w:ascii="Arial" w:eastAsia="Calibri" w:hAnsi="Arial" w:cs="Times New Roman"/>
          <w:sz w:val="24"/>
          <w:lang w:val="en"/>
        </w:rPr>
        <w:t xml:space="preserve"> or vision impaired to exercise our human rights, by </w:t>
      </w:r>
      <w:proofErr w:type="spellStart"/>
      <w:r w:rsidRPr="00795C03">
        <w:rPr>
          <w:rFonts w:ascii="Arial" w:eastAsia="Calibri" w:hAnsi="Arial" w:cs="Times New Roman"/>
          <w:sz w:val="24"/>
          <w:lang w:val="en"/>
        </w:rPr>
        <w:t>emphasising</w:t>
      </w:r>
      <w:proofErr w:type="spellEnd"/>
      <w:r w:rsidRPr="00795C03">
        <w:rPr>
          <w:rFonts w:ascii="Arial" w:eastAsia="Calibri" w:hAnsi="Arial" w:cs="Times New Roman"/>
          <w:sz w:val="24"/>
          <w:lang w:val="en"/>
        </w:rPr>
        <w:t xml:space="preserve"> our dignity, </w:t>
      </w:r>
      <w:proofErr w:type="spellStart"/>
      <w:r w:rsidRPr="00795C03">
        <w:rPr>
          <w:rFonts w:ascii="Arial" w:eastAsia="Calibri" w:hAnsi="Arial" w:cs="Times New Roman"/>
          <w:sz w:val="24"/>
          <w:lang w:val="en"/>
        </w:rPr>
        <w:t>reablement</w:t>
      </w:r>
      <w:proofErr w:type="spellEnd"/>
      <w:r w:rsidRPr="00795C03">
        <w:rPr>
          <w:rFonts w:ascii="Arial" w:eastAsia="Calibri" w:hAnsi="Arial" w:cs="Times New Roman"/>
          <w:sz w:val="24"/>
          <w:lang w:val="en"/>
        </w:rPr>
        <w:t>, independence and diversity. Publicity can reflect that not all</w:t>
      </w:r>
      <w:r w:rsidR="009805F0">
        <w:rPr>
          <w:rFonts w:ascii="Arial" w:eastAsia="Calibri" w:hAnsi="Arial" w:cs="Times New Roman"/>
          <w:sz w:val="24"/>
          <w:lang w:val="en"/>
        </w:rPr>
        <w:t xml:space="preserve"> people who are blind or</w:t>
      </w:r>
      <w:r w:rsidRPr="00795C03">
        <w:rPr>
          <w:rFonts w:ascii="Arial" w:eastAsia="Calibri" w:hAnsi="Arial" w:cs="Times New Roman"/>
          <w:sz w:val="24"/>
          <w:lang w:val="en"/>
        </w:rPr>
        <w:t xml:space="preserve"> vision impaired seek to adjust or improve, but sometimes need services simply to live our lives. It is essenti</w:t>
      </w:r>
      <w:r w:rsidR="00AB2DDA">
        <w:rPr>
          <w:rFonts w:ascii="Arial" w:eastAsia="Calibri" w:hAnsi="Arial" w:cs="Times New Roman"/>
          <w:sz w:val="24"/>
          <w:lang w:val="en"/>
        </w:rPr>
        <w:t xml:space="preserve">al that all staff, consultants </w:t>
      </w:r>
      <w:r w:rsidRPr="00795C03">
        <w:rPr>
          <w:rFonts w:ascii="Arial" w:eastAsia="Calibri" w:hAnsi="Arial" w:cs="Times New Roman"/>
          <w:sz w:val="24"/>
          <w:lang w:val="en"/>
        </w:rPr>
        <w:t xml:space="preserve">and volunteers involved in such activities be trained to </w:t>
      </w:r>
      <w:proofErr w:type="spellStart"/>
      <w:r w:rsidRPr="00795C03">
        <w:rPr>
          <w:rFonts w:ascii="Arial" w:eastAsia="Calibri" w:hAnsi="Arial" w:cs="Times New Roman"/>
          <w:sz w:val="24"/>
          <w:lang w:val="en"/>
        </w:rPr>
        <w:t>recognise</w:t>
      </w:r>
      <w:proofErr w:type="spellEnd"/>
      <w:r w:rsidRPr="00795C03">
        <w:rPr>
          <w:rFonts w:ascii="Arial" w:eastAsia="Calibri" w:hAnsi="Arial" w:cs="Times New Roman"/>
          <w:sz w:val="24"/>
          <w:lang w:val="en"/>
        </w:rPr>
        <w:t xml:space="preserve"> how they impact public attitudes to blindness. </w:t>
      </w:r>
    </w:p>
    <w:p w14:paraId="59E6EE4A" w14:textId="77E08006" w:rsidR="00795C03" w:rsidRPr="00795C03" w:rsidRDefault="00795C03" w:rsidP="00795C03">
      <w:pPr>
        <w:spacing w:after="0" w:line="240" w:lineRule="auto"/>
        <w:rPr>
          <w:rFonts w:ascii="Arial" w:eastAsia="Calibri" w:hAnsi="Arial" w:cs="Times New Roman"/>
          <w:sz w:val="24"/>
          <w:lang w:val="en"/>
        </w:rPr>
      </w:pPr>
    </w:p>
    <w:p w14:paraId="0B507D94" w14:textId="7530B614" w:rsidR="00795C03" w:rsidRPr="00A46E99" w:rsidRDefault="00795C03" w:rsidP="00A46E99">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8.2 </w:t>
      </w:r>
      <w:r w:rsidR="00A46E99" w:rsidRPr="00A46E99">
        <w:rPr>
          <w:rFonts w:ascii="Arial" w:eastAsia="Calibri" w:hAnsi="Arial" w:cs="Times New Roman"/>
          <w:sz w:val="24"/>
        </w:rPr>
        <w:t>Fundraising, marketing and publicity materials should aim to reflect the demographics of the users of the service in all respects, including age, ge</w:t>
      </w:r>
      <w:r w:rsidR="002765E8">
        <w:rPr>
          <w:rFonts w:ascii="Arial" w:eastAsia="Calibri" w:hAnsi="Arial" w:cs="Times New Roman"/>
          <w:sz w:val="24"/>
        </w:rPr>
        <w:t>nder, sexuality, cultural background</w:t>
      </w:r>
      <w:r w:rsidR="00A46E99" w:rsidRPr="00A46E99">
        <w:rPr>
          <w:rFonts w:ascii="Arial" w:eastAsia="Calibri" w:hAnsi="Arial" w:cs="Times New Roman"/>
          <w:sz w:val="24"/>
        </w:rPr>
        <w:t>, religion, family composition and geography. It is desirable to avoid implying that one element of a service, such as dogs or children, is representative of the service as a whole.</w:t>
      </w:r>
    </w:p>
    <w:p w14:paraId="29EE5170" w14:textId="77777777" w:rsidR="00795C03" w:rsidRPr="00795C03" w:rsidRDefault="00795C03" w:rsidP="00795C03">
      <w:pPr>
        <w:spacing w:after="0" w:line="240" w:lineRule="auto"/>
        <w:rPr>
          <w:rFonts w:ascii="Arial" w:eastAsia="Calibri" w:hAnsi="Arial" w:cs="Times New Roman"/>
          <w:sz w:val="24"/>
          <w:lang w:val="en"/>
        </w:rPr>
      </w:pPr>
    </w:p>
    <w:p w14:paraId="36B6F1C8" w14:textId="50B1121F" w:rsidR="00795C03" w:rsidRPr="00795C03" w:rsidRDefault="00795C03" w:rsidP="00795C03">
      <w:pPr>
        <w:spacing w:after="0" w:line="240" w:lineRule="auto"/>
        <w:rPr>
          <w:rFonts w:ascii="Arial" w:eastAsia="Calibri" w:hAnsi="Arial" w:cs="Times New Roman"/>
          <w:sz w:val="24"/>
          <w:lang w:val="en"/>
        </w:rPr>
      </w:pPr>
      <w:r w:rsidRPr="00574B08">
        <w:rPr>
          <w:rFonts w:ascii="Arial" w:eastAsia="Calibri" w:hAnsi="Arial" w:cs="Times New Roman"/>
          <w:sz w:val="24"/>
          <w:lang w:val="en"/>
        </w:rPr>
        <w:t xml:space="preserve">8.3 Blindness service providers </w:t>
      </w:r>
      <w:r w:rsidR="002765E8">
        <w:rPr>
          <w:rFonts w:ascii="Arial" w:eastAsia="Calibri" w:hAnsi="Arial" w:cs="Times New Roman"/>
          <w:sz w:val="24"/>
          <w:lang w:val="en"/>
        </w:rPr>
        <w:t>are encouraged to</w:t>
      </w:r>
      <w:r w:rsidRPr="00574B08">
        <w:rPr>
          <w:rFonts w:ascii="Arial" w:eastAsia="Calibri" w:hAnsi="Arial" w:cs="Times New Roman"/>
          <w:sz w:val="24"/>
          <w:lang w:val="en"/>
        </w:rPr>
        <w:t xml:space="preserve"> adhere to the Fundraising Ins</w:t>
      </w:r>
      <w:r w:rsidR="00574B08" w:rsidRPr="00574B08">
        <w:rPr>
          <w:rFonts w:ascii="Arial" w:eastAsia="Calibri" w:hAnsi="Arial" w:cs="Times New Roman"/>
          <w:sz w:val="24"/>
          <w:lang w:val="en"/>
        </w:rPr>
        <w:t>titute of Australia's Code (1 June 2018)</w:t>
      </w:r>
      <w:r w:rsidRPr="00574B08">
        <w:rPr>
          <w:rFonts w:ascii="Arial" w:eastAsia="Calibri" w:hAnsi="Arial" w:cs="Times New Roman"/>
          <w:sz w:val="24"/>
          <w:lang w:val="en"/>
        </w:rPr>
        <w:t>, in particular</w:t>
      </w:r>
      <w:r w:rsidRPr="00795C03">
        <w:rPr>
          <w:rFonts w:ascii="Arial" w:eastAsia="Calibri" w:hAnsi="Arial" w:cs="Times New Roman"/>
          <w:sz w:val="24"/>
          <w:lang w:val="en"/>
        </w:rPr>
        <w:t xml:space="preserve"> to Section 5.1. :</w:t>
      </w:r>
    </w:p>
    <w:p w14:paraId="5E90B335" w14:textId="77777777" w:rsidR="00574B08"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"5.1</w:t>
      </w:r>
      <w:r w:rsidR="00574B08">
        <w:rPr>
          <w:rFonts w:ascii="Arial" w:eastAsia="Calibri" w:hAnsi="Arial" w:cs="Times New Roman"/>
          <w:sz w:val="24"/>
          <w:lang w:val="en"/>
        </w:rPr>
        <w:t xml:space="preserve"> Conduct towards Beneficiaries:</w:t>
      </w:r>
    </w:p>
    <w:p w14:paraId="2366530F" w14:textId="60EE44A2" w:rsidR="00795C03" w:rsidRPr="00795C03" w:rsidRDefault="00574B08" w:rsidP="00795C03">
      <w:pPr>
        <w:spacing w:after="0" w:line="240" w:lineRule="auto"/>
        <w:rPr>
          <w:rFonts w:ascii="Arial" w:eastAsia="Calibri" w:hAnsi="Arial" w:cs="Times New Roman"/>
          <w:sz w:val="24"/>
          <w:lang w:val="en"/>
        </w:rPr>
      </w:pPr>
      <w:r>
        <w:rPr>
          <w:rFonts w:ascii="Arial" w:eastAsia="Calibri" w:hAnsi="Arial" w:cs="Times New Roman"/>
          <w:sz w:val="24"/>
          <w:lang w:val="en"/>
        </w:rPr>
        <w:lastRenderedPageBreak/>
        <w:t>Members will not engage in conduct that threatens the dignity of, or disparages a</w:t>
      </w:r>
      <w:r w:rsidR="00795C03" w:rsidRPr="00795C03">
        <w:rPr>
          <w:rFonts w:ascii="Arial" w:eastAsia="Calibri" w:hAnsi="Arial" w:cs="Times New Roman"/>
          <w:sz w:val="24"/>
          <w:lang w:val="en"/>
        </w:rPr>
        <w:t xml:space="preserve"> Beneficiary. </w:t>
      </w:r>
      <w:r>
        <w:rPr>
          <w:rFonts w:ascii="Arial" w:eastAsia="Calibri" w:hAnsi="Arial" w:cs="Times New Roman"/>
          <w:sz w:val="24"/>
          <w:lang w:val="en"/>
        </w:rPr>
        <w:t>Such conduct may include</w:t>
      </w:r>
      <w:r w:rsidR="00795C03" w:rsidRPr="00795C03">
        <w:rPr>
          <w:rFonts w:ascii="Arial" w:eastAsia="Calibri" w:hAnsi="Arial" w:cs="Times New Roman"/>
          <w:sz w:val="24"/>
          <w:lang w:val="en"/>
        </w:rPr>
        <w:t xml:space="preserve">, but is not limited to: </w:t>
      </w:r>
    </w:p>
    <w:p w14:paraId="278D3247" w14:textId="1AE577B7" w:rsidR="00795C03" w:rsidRPr="00795C03" w:rsidRDefault="00574B08" w:rsidP="00795C03">
      <w:pPr>
        <w:spacing w:after="0" w:line="240" w:lineRule="auto"/>
        <w:rPr>
          <w:rFonts w:ascii="Arial" w:eastAsia="Calibri" w:hAnsi="Arial" w:cs="Times New Roman"/>
          <w:sz w:val="24"/>
          <w:lang w:val="en"/>
        </w:rPr>
      </w:pPr>
      <w:r>
        <w:rPr>
          <w:rFonts w:ascii="Arial" w:eastAsia="Calibri" w:hAnsi="Arial" w:cs="Times New Roman"/>
          <w:sz w:val="24"/>
          <w:lang w:val="en"/>
        </w:rPr>
        <w:t xml:space="preserve">a) </w:t>
      </w:r>
      <w:r w:rsidR="00795C03" w:rsidRPr="00795C03">
        <w:rPr>
          <w:rFonts w:ascii="Arial" w:eastAsia="Calibri" w:hAnsi="Arial" w:cs="Times New Roman"/>
          <w:sz w:val="24"/>
          <w:lang w:val="en"/>
        </w:rPr>
        <w:t>comment</w:t>
      </w:r>
      <w:r>
        <w:rPr>
          <w:rFonts w:ascii="Arial" w:eastAsia="Calibri" w:hAnsi="Arial" w:cs="Times New Roman"/>
          <w:sz w:val="24"/>
          <w:lang w:val="en"/>
        </w:rPr>
        <w:t>ing</w:t>
      </w:r>
      <w:r w:rsidR="00795C03" w:rsidRPr="00795C03">
        <w:rPr>
          <w:rFonts w:ascii="Arial" w:eastAsia="Calibri" w:hAnsi="Arial" w:cs="Times New Roman"/>
          <w:sz w:val="24"/>
          <w:lang w:val="en"/>
        </w:rPr>
        <w:t xml:space="preserve"> unnecessarily or negatively on the impairment, dependency </w:t>
      </w:r>
      <w:r>
        <w:rPr>
          <w:rFonts w:ascii="Arial" w:eastAsia="Calibri" w:hAnsi="Arial" w:cs="Times New Roman"/>
          <w:sz w:val="24"/>
          <w:lang w:val="en"/>
        </w:rPr>
        <w:t>or disability of a Beneficiary;</w:t>
      </w:r>
    </w:p>
    <w:p w14:paraId="6ECEA0BC" w14:textId="30471BE0" w:rsidR="00795C03" w:rsidRPr="00795C03" w:rsidRDefault="00574B08" w:rsidP="00795C03">
      <w:pPr>
        <w:spacing w:after="0" w:line="240" w:lineRule="auto"/>
        <w:rPr>
          <w:rFonts w:ascii="Arial" w:eastAsia="Calibri" w:hAnsi="Arial" w:cs="Times New Roman"/>
          <w:sz w:val="24"/>
          <w:lang w:val="en"/>
        </w:rPr>
      </w:pPr>
      <w:r>
        <w:rPr>
          <w:rFonts w:ascii="Arial" w:eastAsia="Calibri" w:hAnsi="Arial" w:cs="Times New Roman"/>
          <w:sz w:val="24"/>
          <w:lang w:val="en"/>
        </w:rPr>
        <w:t xml:space="preserve">b) </w:t>
      </w:r>
      <w:r w:rsidR="00795C03" w:rsidRPr="00795C03">
        <w:rPr>
          <w:rFonts w:ascii="Arial" w:eastAsia="Calibri" w:hAnsi="Arial" w:cs="Times New Roman"/>
          <w:sz w:val="24"/>
          <w:lang w:val="en"/>
        </w:rPr>
        <w:t xml:space="preserve">using language which suggests that the client is to be pitied or feared; </w:t>
      </w:r>
    </w:p>
    <w:p w14:paraId="07F94F6D" w14:textId="33B1B0A5" w:rsidR="00795C03" w:rsidRPr="00795C03"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c) using children on Promotional Materials to raise funds for adult </w:t>
      </w:r>
      <w:r w:rsidR="00574B08">
        <w:rPr>
          <w:rFonts w:ascii="Arial" w:eastAsia="Calibri" w:hAnsi="Arial" w:cs="Times New Roman"/>
          <w:sz w:val="24"/>
          <w:lang w:val="en"/>
        </w:rPr>
        <w:t>causes</w:t>
      </w:r>
      <w:r w:rsidRPr="00795C03">
        <w:rPr>
          <w:rFonts w:ascii="Arial" w:eastAsia="Calibri" w:hAnsi="Arial" w:cs="Times New Roman"/>
          <w:sz w:val="24"/>
          <w:lang w:val="en"/>
        </w:rPr>
        <w:t>, giving</w:t>
      </w:r>
      <w:r w:rsidR="00574B08">
        <w:rPr>
          <w:rFonts w:ascii="Arial" w:eastAsia="Calibri" w:hAnsi="Arial" w:cs="Times New Roman"/>
          <w:sz w:val="24"/>
          <w:lang w:val="en"/>
        </w:rPr>
        <w:t xml:space="preserve"> the impression that the Beneficiaries</w:t>
      </w:r>
      <w:r w:rsidRPr="00795C03">
        <w:rPr>
          <w:rFonts w:ascii="Arial" w:eastAsia="Calibri" w:hAnsi="Arial" w:cs="Times New Roman"/>
          <w:sz w:val="24"/>
          <w:lang w:val="en"/>
        </w:rPr>
        <w:t xml:space="preserve"> are childlike; </w:t>
      </w:r>
    </w:p>
    <w:p w14:paraId="0268B748" w14:textId="4B594C0C" w:rsidR="00795C03" w:rsidRPr="00795C03" w:rsidRDefault="00574B08" w:rsidP="00795C03">
      <w:pPr>
        <w:spacing w:after="0" w:line="240" w:lineRule="auto"/>
        <w:rPr>
          <w:rFonts w:ascii="Arial" w:eastAsia="Calibri" w:hAnsi="Arial" w:cs="Times New Roman"/>
          <w:sz w:val="24"/>
          <w:lang w:val="en"/>
        </w:rPr>
      </w:pPr>
      <w:r>
        <w:rPr>
          <w:rFonts w:ascii="Arial" w:eastAsia="Calibri" w:hAnsi="Arial" w:cs="Times New Roman"/>
          <w:sz w:val="24"/>
          <w:lang w:val="en"/>
        </w:rPr>
        <w:t xml:space="preserve">d) </w:t>
      </w:r>
      <w:r w:rsidR="00795C03" w:rsidRPr="00795C03">
        <w:rPr>
          <w:rFonts w:ascii="Arial" w:eastAsia="Calibri" w:hAnsi="Arial" w:cs="Times New Roman"/>
          <w:sz w:val="24"/>
          <w:lang w:val="en"/>
        </w:rPr>
        <w:t>stating or implying a falseh</w:t>
      </w:r>
      <w:r>
        <w:rPr>
          <w:rFonts w:ascii="Arial" w:eastAsia="Calibri" w:hAnsi="Arial" w:cs="Times New Roman"/>
          <w:sz w:val="24"/>
          <w:lang w:val="en"/>
        </w:rPr>
        <w:t>ood regarding a Beneficiary; or</w:t>
      </w:r>
      <w:r w:rsidR="00795C03" w:rsidRPr="00795C03">
        <w:rPr>
          <w:rFonts w:ascii="Arial" w:eastAsia="Calibri" w:hAnsi="Arial" w:cs="Times New Roman"/>
          <w:sz w:val="24"/>
          <w:lang w:val="en"/>
        </w:rPr>
        <w:t xml:space="preserve"> </w:t>
      </w:r>
    </w:p>
    <w:p w14:paraId="064BFEDB" w14:textId="7BF9042A" w:rsidR="00795C03" w:rsidRPr="00795C03"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e) </w:t>
      </w:r>
      <w:r w:rsidR="00574B08">
        <w:rPr>
          <w:rFonts w:ascii="Arial" w:eastAsia="Calibri" w:hAnsi="Arial" w:cs="Times New Roman"/>
          <w:sz w:val="24"/>
          <w:lang w:val="en"/>
        </w:rPr>
        <w:t>using</w:t>
      </w:r>
      <w:r w:rsidRPr="00795C03">
        <w:rPr>
          <w:rFonts w:ascii="Arial" w:eastAsia="Calibri" w:hAnsi="Arial" w:cs="Times New Roman"/>
          <w:sz w:val="24"/>
          <w:lang w:val="en"/>
        </w:rPr>
        <w:t xml:space="preserve"> a Beneficiary’s image or</w:t>
      </w:r>
      <w:r w:rsidR="00574B08">
        <w:rPr>
          <w:rFonts w:ascii="Arial" w:eastAsia="Calibri" w:hAnsi="Arial" w:cs="Times New Roman"/>
          <w:sz w:val="24"/>
          <w:lang w:val="en"/>
        </w:rPr>
        <w:t xml:space="preserve"> name or other personal information</w:t>
      </w:r>
      <w:r w:rsidRPr="00795C03">
        <w:rPr>
          <w:rFonts w:ascii="Arial" w:eastAsia="Calibri" w:hAnsi="Arial" w:cs="Times New Roman"/>
          <w:sz w:val="24"/>
          <w:lang w:val="en"/>
        </w:rPr>
        <w:t xml:space="preserve"> without </w:t>
      </w:r>
      <w:r w:rsidR="00574B08">
        <w:rPr>
          <w:rFonts w:ascii="Arial" w:eastAsia="Calibri" w:hAnsi="Arial" w:cs="Times New Roman"/>
          <w:sz w:val="24"/>
          <w:lang w:val="en"/>
        </w:rPr>
        <w:t>their</w:t>
      </w:r>
      <w:r w:rsidRPr="00795C03">
        <w:rPr>
          <w:rFonts w:ascii="Arial" w:eastAsia="Calibri" w:hAnsi="Arial" w:cs="Times New Roman"/>
          <w:sz w:val="24"/>
          <w:lang w:val="en"/>
        </w:rPr>
        <w:t xml:space="preserve"> permission."</w:t>
      </w:r>
    </w:p>
    <w:p w14:paraId="2C7CC5CB" w14:textId="77777777" w:rsidR="00795C03" w:rsidRPr="00795C03" w:rsidRDefault="00795C03" w:rsidP="00795C03">
      <w:pPr>
        <w:spacing w:after="0" w:line="240" w:lineRule="auto"/>
        <w:rPr>
          <w:rFonts w:ascii="Arial" w:eastAsia="Calibri" w:hAnsi="Arial" w:cs="Times New Roman"/>
          <w:sz w:val="24"/>
          <w:lang w:val="en"/>
        </w:rPr>
      </w:pPr>
    </w:p>
    <w:p w14:paraId="49BCC9FD" w14:textId="46B8B592" w:rsidR="00795C03" w:rsidRPr="00795C03" w:rsidRDefault="00AB2DDA" w:rsidP="00795C03">
      <w:pPr>
        <w:spacing w:after="0" w:line="240" w:lineRule="auto"/>
        <w:rPr>
          <w:rFonts w:ascii="Arial" w:eastAsia="Calibri" w:hAnsi="Arial" w:cs="Times New Roman"/>
          <w:sz w:val="24"/>
          <w:lang w:val="en"/>
        </w:rPr>
      </w:pPr>
      <w:r>
        <w:rPr>
          <w:rFonts w:ascii="Arial" w:eastAsia="Calibri" w:hAnsi="Arial" w:cs="Times New Roman"/>
          <w:sz w:val="24"/>
          <w:lang w:val="en"/>
        </w:rPr>
        <w:t>8.4</w:t>
      </w:r>
      <w:r w:rsidR="00795C03" w:rsidRPr="00795C03">
        <w:rPr>
          <w:rFonts w:ascii="Arial" w:eastAsia="Calibri" w:hAnsi="Arial" w:cs="Times New Roman"/>
          <w:sz w:val="24"/>
          <w:lang w:val="en"/>
        </w:rPr>
        <w:t xml:space="preserve"> Blindness service providers can use their relationships with corporate donors to encourage them to work towards ensuring that their products and services are accessible to service users.</w:t>
      </w:r>
    </w:p>
    <w:p w14:paraId="6A9DC3EA" w14:textId="77777777" w:rsidR="00795C03" w:rsidRPr="00795C03"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 </w:t>
      </w:r>
    </w:p>
    <w:p w14:paraId="4171D7CD" w14:textId="77777777" w:rsidR="00795C03" w:rsidRPr="00795C03" w:rsidRDefault="00795C03" w:rsidP="00795C03">
      <w:pPr>
        <w:spacing w:after="0" w:line="240" w:lineRule="auto"/>
        <w:rPr>
          <w:rFonts w:ascii="Arial" w:eastAsia="Calibri" w:hAnsi="Arial" w:cs="Times New Roman"/>
          <w:sz w:val="24"/>
          <w:lang w:val="en"/>
        </w:rPr>
      </w:pPr>
      <w:r w:rsidRPr="00795C03">
        <w:rPr>
          <w:rFonts w:ascii="Arial" w:eastAsia="Calibri" w:hAnsi="Arial" w:cs="Times New Roman"/>
          <w:sz w:val="24"/>
          <w:lang w:val="en"/>
        </w:rPr>
        <w:t xml:space="preserve">8.5 Information which could be used to identify service users, such as names, photographic images and stories, can only be used by a blindness service provider with that service user's genuine, informed and freely given consent. Service users must be informed about the existence of any identifying material relating to them, their right to say no and that they can continue to receive services if they do.   </w:t>
      </w:r>
    </w:p>
    <w:p w14:paraId="2F7BCBE0" w14:textId="45301C88" w:rsidR="00795C03" w:rsidRDefault="00795C03" w:rsidP="00953DB5">
      <w:pPr>
        <w:spacing w:after="0" w:line="240" w:lineRule="auto"/>
        <w:rPr>
          <w:rFonts w:ascii="Arial" w:eastAsia="Calibri" w:hAnsi="Arial" w:cs="Times New Roman"/>
          <w:sz w:val="24"/>
          <w:lang w:val="en-US"/>
        </w:rPr>
      </w:pPr>
    </w:p>
    <w:p w14:paraId="4ADD15FB" w14:textId="269FDDD8" w:rsidR="00795C03" w:rsidRPr="005C5DE8" w:rsidRDefault="00795C03" w:rsidP="005C5DE8">
      <w:pPr>
        <w:pStyle w:val="Heading2"/>
        <w:rPr>
          <w:rFonts w:eastAsia="Calibri"/>
          <w:lang w:val="en-US"/>
        </w:rPr>
      </w:pPr>
      <w:bookmarkStart w:id="13" w:name="_Toc3205991"/>
      <w:r w:rsidRPr="00795C03">
        <w:rPr>
          <w:rFonts w:eastAsia="Calibri"/>
          <w:lang w:val="en-US"/>
        </w:rPr>
        <w:t>9. Employing people who</w:t>
      </w:r>
      <w:r>
        <w:rPr>
          <w:rFonts w:eastAsia="Calibri"/>
          <w:lang w:val="en-US"/>
        </w:rPr>
        <w:t xml:space="preserve"> are blind or vision impaired</w:t>
      </w:r>
      <w:bookmarkEnd w:id="13"/>
    </w:p>
    <w:p w14:paraId="63613376" w14:textId="7F2098BB"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9.1 Where a person who is blind or vision impaired is qualified for a position and meets the selection criteria, preference is to be given to employing that person. Lived experience is</w:t>
      </w:r>
      <w:r w:rsidR="00AB2DDA">
        <w:rPr>
          <w:rFonts w:ascii="Arial" w:eastAsia="Calibri" w:hAnsi="Arial" w:cs="Times New Roman"/>
          <w:sz w:val="24"/>
          <w:lang w:val="en-US"/>
        </w:rPr>
        <w:t xml:space="preserve"> to be considered as an</w:t>
      </w:r>
      <w:r w:rsidRPr="00795C03">
        <w:rPr>
          <w:rFonts w:ascii="Arial" w:eastAsia="Calibri" w:hAnsi="Arial" w:cs="Times New Roman"/>
          <w:sz w:val="24"/>
          <w:lang w:val="en-US"/>
        </w:rPr>
        <w:t xml:space="preserve"> asset to a blindness service provider, influencing its culture and quality of service.  </w:t>
      </w:r>
      <w:r w:rsidR="002765E8">
        <w:rPr>
          <w:rFonts w:ascii="Arial" w:eastAsia="Calibri" w:hAnsi="Arial" w:cs="Times New Roman"/>
          <w:sz w:val="24"/>
          <w:lang w:val="en-US"/>
        </w:rPr>
        <w:t xml:space="preserve">It is vital that </w:t>
      </w:r>
      <w:r w:rsidR="00AB2DDA">
        <w:rPr>
          <w:rFonts w:ascii="Arial" w:eastAsia="Calibri" w:hAnsi="Arial" w:cs="Times New Roman"/>
          <w:sz w:val="24"/>
          <w:lang w:val="en-US"/>
        </w:rPr>
        <w:t xml:space="preserve">senior management positions </w:t>
      </w:r>
      <w:r w:rsidR="002765E8">
        <w:rPr>
          <w:rFonts w:ascii="Arial" w:eastAsia="Calibri" w:hAnsi="Arial" w:cs="Times New Roman"/>
          <w:sz w:val="24"/>
          <w:lang w:val="en-US"/>
        </w:rPr>
        <w:t>are held by people who are blind or vision impaired.</w:t>
      </w:r>
    </w:p>
    <w:p w14:paraId="23002404" w14:textId="77777777" w:rsidR="00795C03" w:rsidRPr="00795C03" w:rsidRDefault="00795C03" w:rsidP="00795C03">
      <w:pPr>
        <w:spacing w:after="0" w:line="240" w:lineRule="auto"/>
        <w:rPr>
          <w:rFonts w:ascii="Arial" w:eastAsia="Calibri" w:hAnsi="Arial" w:cs="Times New Roman"/>
          <w:sz w:val="24"/>
          <w:lang w:val="en-US"/>
        </w:rPr>
      </w:pPr>
    </w:p>
    <w:p w14:paraId="57726161" w14:textId="51CE483D"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9.2 The lack of a driver’s </w:t>
      </w:r>
      <w:proofErr w:type="spellStart"/>
      <w:r w:rsidRPr="00795C03">
        <w:rPr>
          <w:rFonts w:ascii="Arial" w:eastAsia="Calibri" w:hAnsi="Arial" w:cs="Times New Roman"/>
          <w:sz w:val="24"/>
          <w:lang w:val="en-US"/>
        </w:rPr>
        <w:t>licence</w:t>
      </w:r>
      <w:proofErr w:type="spellEnd"/>
      <w:r w:rsidRPr="00795C03">
        <w:rPr>
          <w:rFonts w:ascii="Arial" w:eastAsia="Calibri" w:hAnsi="Arial" w:cs="Times New Roman"/>
          <w:sz w:val="24"/>
          <w:lang w:val="en-US"/>
        </w:rPr>
        <w:t xml:space="preserve"> </w:t>
      </w:r>
      <w:r w:rsidR="00E2392D">
        <w:rPr>
          <w:rFonts w:ascii="Arial" w:eastAsia="Calibri" w:hAnsi="Arial" w:cs="Times New Roman"/>
          <w:sz w:val="24"/>
          <w:lang w:val="en-US"/>
        </w:rPr>
        <w:t>must</w:t>
      </w:r>
      <w:r w:rsidRPr="00795C03">
        <w:rPr>
          <w:rFonts w:ascii="Arial" w:eastAsia="Calibri" w:hAnsi="Arial" w:cs="Times New Roman"/>
          <w:sz w:val="24"/>
          <w:lang w:val="en-US"/>
        </w:rPr>
        <w:t xml:space="preserve"> not prevent a person obtaining a position, where that person is otherwise qualified. </w:t>
      </w:r>
    </w:p>
    <w:p w14:paraId="5A0E9B5B" w14:textId="77777777" w:rsidR="00795C03" w:rsidRPr="00795C03" w:rsidRDefault="00795C03" w:rsidP="00795C03">
      <w:pPr>
        <w:spacing w:after="0" w:line="240" w:lineRule="auto"/>
        <w:rPr>
          <w:rFonts w:ascii="Arial" w:eastAsia="Calibri" w:hAnsi="Arial" w:cs="Times New Roman"/>
          <w:sz w:val="24"/>
          <w:lang w:val="en-US"/>
        </w:rPr>
      </w:pPr>
    </w:p>
    <w:p w14:paraId="7D6AD915" w14:textId="308B95FE"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9.3 </w:t>
      </w:r>
      <w:r w:rsidR="002765E8">
        <w:rPr>
          <w:rFonts w:ascii="Arial" w:eastAsia="Calibri" w:hAnsi="Arial" w:cs="Times New Roman"/>
          <w:sz w:val="24"/>
          <w:lang w:val="en-US"/>
        </w:rPr>
        <w:t>It is best practice for o</w:t>
      </w:r>
      <w:r w:rsidRPr="00795C03">
        <w:rPr>
          <w:rFonts w:ascii="Arial" w:eastAsia="Calibri" w:hAnsi="Arial" w:cs="Times New Roman"/>
          <w:sz w:val="24"/>
          <w:lang w:val="en-US"/>
        </w:rPr>
        <w:t xml:space="preserve">rganisations </w:t>
      </w:r>
      <w:r w:rsidR="002765E8">
        <w:rPr>
          <w:rFonts w:ascii="Arial" w:eastAsia="Calibri" w:hAnsi="Arial" w:cs="Times New Roman"/>
          <w:sz w:val="24"/>
          <w:lang w:val="en-US"/>
        </w:rPr>
        <w:t>to</w:t>
      </w:r>
      <w:r w:rsidRPr="00795C03">
        <w:rPr>
          <w:rFonts w:ascii="Arial" w:eastAsia="Calibri" w:hAnsi="Arial" w:cs="Times New Roman"/>
          <w:sz w:val="24"/>
          <w:lang w:val="en-US"/>
        </w:rPr>
        <w:t xml:space="preserve"> adopt and advertise targets and timelines for percentages of blind staff in service delivery and management positions. Annual reports provide an opportunity to detail the number and percentage of staff who identify as blind or vision impaired and the roles they occupy. </w:t>
      </w:r>
    </w:p>
    <w:p w14:paraId="0716F178"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163A3F5F" w14:textId="1D5721A0"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9.4 All premises, digital resources (whether designed or acquired) databases and social activities intended for staff are required to be accessible to people who are blind or vision impaired, whether currently employed or not, so that there is no barrier to their future employment. This access is intended to </w:t>
      </w:r>
      <w:r w:rsidR="00D967CB">
        <w:rPr>
          <w:rFonts w:ascii="Arial" w:eastAsia="Calibri" w:hAnsi="Arial" w:cs="Times New Roman"/>
          <w:sz w:val="24"/>
          <w:lang w:val="en-US"/>
        </w:rPr>
        <w:t xml:space="preserve">enable </w:t>
      </w:r>
      <w:r w:rsidRPr="00795C03">
        <w:rPr>
          <w:rFonts w:ascii="Arial" w:eastAsia="Calibri" w:hAnsi="Arial" w:cs="Times New Roman"/>
          <w:sz w:val="24"/>
          <w:lang w:val="en-US"/>
        </w:rPr>
        <w:t xml:space="preserve">such staff to achieve the same independence, integrity and dignity as other staff members. Any additional training, equipment or time necessary to achieve their full participation as staff members is to be provided. </w:t>
      </w:r>
    </w:p>
    <w:p w14:paraId="539DCA85"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676F3432"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9.5 Staff who are blind or vision impaired are to be encouraged to pursue opportunities for career development and promotion within the </w:t>
      </w:r>
      <w:proofErr w:type="spellStart"/>
      <w:r w:rsidRPr="00795C03">
        <w:rPr>
          <w:rFonts w:ascii="Arial" w:eastAsia="Calibri" w:hAnsi="Arial" w:cs="Times New Roman"/>
          <w:sz w:val="24"/>
          <w:lang w:val="en-US"/>
        </w:rPr>
        <w:t>organisation</w:t>
      </w:r>
      <w:proofErr w:type="spellEnd"/>
      <w:r w:rsidRPr="00795C03">
        <w:rPr>
          <w:rFonts w:ascii="Arial" w:eastAsia="Calibri" w:hAnsi="Arial" w:cs="Times New Roman"/>
          <w:sz w:val="24"/>
          <w:lang w:val="en-US"/>
        </w:rPr>
        <w:t>.</w:t>
      </w:r>
    </w:p>
    <w:p w14:paraId="303240E0" w14:textId="77777777" w:rsidR="00795C03" w:rsidRPr="00795C03" w:rsidRDefault="00795C03" w:rsidP="00795C03">
      <w:pPr>
        <w:spacing w:after="0" w:line="240" w:lineRule="auto"/>
        <w:rPr>
          <w:rFonts w:ascii="Arial" w:eastAsia="Calibri" w:hAnsi="Arial" w:cs="Times New Roman"/>
          <w:sz w:val="24"/>
          <w:lang w:val="en-US"/>
        </w:rPr>
      </w:pPr>
    </w:p>
    <w:p w14:paraId="58144618" w14:textId="3956F9AF" w:rsidR="00A46E99" w:rsidRPr="00A46E99" w:rsidRDefault="00795C03" w:rsidP="00A46E99">
      <w:pPr>
        <w:spacing w:after="0" w:line="240" w:lineRule="auto"/>
        <w:rPr>
          <w:rFonts w:ascii="Arial" w:eastAsia="Calibri" w:hAnsi="Arial"/>
        </w:rPr>
      </w:pPr>
      <w:r w:rsidRPr="00795C03">
        <w:rPr>
          <w:rFonts w:ascii="Arial" w:eastAsia="Calibri" w:hAnsi="Arial" w:cs="Times New Roman"/>
          <w:sz w:val="24"/>
          <w:lang w:val="en-US"/>
        </w:rPr>
        <w:t xml:space="preserve">9.6 All staff members are regularly to be educated about the lives of a diverse range of people who are blind and vision impaired, so that they can understand living with </w:t>
      </w:r>
      <w:r w:rsidRPr="00795C03">
        <w:rPr>
          <w:rFonts w:ascii="Arial" w:eastAsia="Calibri" w:hAnsi="Arial" w:cs="Times New Roman"/>
          <w:sz w:val="24"/>
          <w:lang w:val="en-US"/>
        </w:rPr>
        <w:lastRenderedPageBreak/>
        <w:t>differing degrees of blindness</w:t>
      </w:r>
      <w:r w:rsidRPr="00A46E99">
        <w:rPr>
          <w:rFonts w:ascii="Arial" w:eastAsia="Calibri" w:hAnsi="Arial" w:cs="Times New Roman"/>
          <w:sz w:val="24"/>
          <w:szCs w:val="24"/>
          <w:lang w:val="en-US"/>
        </w:rPr>
        <w:t>.</w:t>
      </w:r>
      <w:r w:rsidR="00A46E99" w:rsidRPr="00A46E99">
        <w:rPr>
          <w:rFonts w:ascii="Arial" w:eastAsia="Calibri" w:hAnsi="Arial" w:cs="Times New Roman"/>
          <w:sz w:val="24"/>
          <w:szCs w:val="24"/>
          <w:lang w:val="en-US"/>
        </w:rPr>
        <w:t xml:space="preserve">  </w:t>
      </w:r>
      <w:r w:rsidR="00A46E99" w:rsidRPr="00A46E99">
        <w:rPr>
          <w:rFonts w:ascii="Arial" w:eastAsia="Calibri" w:hAnsi="Arial"/>
          <w:sz w:val="24"/>
          <w:szCs w:val="24"/>
        </w:rPr>
        <w:t>This aspect of training or induction must be facilitated or lead by a person who is blind or vision impaired (in a paid capacity)</w:t>
      </w:r>
      <w:r w:rsidR="00A46E99">
        <w:rPr>
          <w:rFonts w:ascii="Arial" w:eastAsia="Calibri" w:hAnsi="Arial"/>
          <w:sz w:val="24"/>
          <w:szCs w:val="24"/>
        </w:rPr>
        <w:t>.</w:t>
      </w:r>
    </w:p>
    <w:p w14:paraId="068C47DE" w14:textId="7071AE5C" w:rsidR="00795C03" w:rsidRDefault="00795C03" w:rsidP="00795C03">
      <w:pPr>
        <w:spacing w:after="0" w:line="240" w:lineRule="auto"/>
        <w:rPr>
          <w:rFonts w:ascii="Arial" w:eastAsia="Calibri" w:hAnsi="Arial" w:cs="Times New Roman"/>
          <w:sz w:val="24"/>
          <w:lang w:val="en-US"/>
        </w:rPr>
      </w:pPr>
    </w:p>
    <w:p w14:paraId="7E4017DF" w14:textId="724512D4" w:rsidR="00795C03" w:rsidRPr="005C5DE8" w:rsidRDefault="00795C03" w:rsidP="005C5DE8">
      <w:pPr>
        <w:pStyle w:val="Heading2"/>
        <w:rPr>
          <w:rFonts w:eastAsia="Calibri"/>
          <w:lang w:val="en-US"/>
        </w:rPr>
      </w:pPr>
      <w:bookmarkStart w:id="14" w:name="_Toc3205992"/>
      <w:r>
        <w:rPr>
          <w:rFonts w:eastAsia="Calibri"/>
          <w:lang w:val="en-US"/>
        </w:rPr>
        <w:t>10. Governance and leadership</w:t>
      </w:r>
      <w:bookmarkEnd w:id="14"/>
    </w:p>
    <w:p w14:paraId="59CBC7BC" w14:textId="4EB61CDD"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10.1 Blindness service providers are required to comply with all applicable laws in relation to governance. Those regulated by the Corporations Law must be governed by boards of directors, who must act in the best interests of their company. BCA asserts that, among the range of exper</w:t>
      </w:r>
      <w:r w:rsidR="002765E8">
        <w:rPr>
          <w:rFonts w:ascii="Arial" w:eastAsia="Calibri" w:hAnsi="Arial" w:cs="Times New Roman"/>
          <w:sz w:val="24"/>
          <w:lang w:val="en-US"/>
        </w:rPr>
        <w:t>tise required for an effective b</w:t>
      </w:r>
      <w:r w:rsidRPr="00795C03">
        <w:rPr>
          <w:rFonts w:ascii="Arial" w:eastAsia="Calibri" w:hAnsi="Arial" w:cs="Times New Roman"/>
          <w:sz w:val="24"/>
          <w:lang w:val="en-US"/>
        </w:rPr>
        <w:t>oard, such as knowledge of business or policy and gender balance, lived experience of blindness and vision impairment is essential.</w:t>
      </w:r>
    </w:p>
    <w:p w14:paraId="79BA67C3"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7F2B9654" w14:textId="6FA9BF76" w:rsidR="00795C03" w:rsidRPr="00A46E99" w:rsidRDefault="00AB2DDA" w:rsidP="00A46E99">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10.2 </w:t>
      </w:r>
      <w:r w:rsidR="00795C03" w:rsidRPr="00795C03">
        <w:rPr>
          <w:rFonts w:ascii="Arial" w:eastAsia="Calibri" w:hAnsi="Arial" w:cs="Times New Roman"/>
          <w:sz w:val="24"/>
          <w:lang w:val="en-US"/>
        </w:rPr>
        <w:t xml:space="preserve">A majority of directors or members of a management committee ought to have lived experience of blindness or vision impairment. All such office holders </w:t>
      </w:r>
      <w:r w:rsidR="00E2392D">
        <w:rPr>
          <w:rFonts w:ascii="Arial" w:eastAsia="Calibri" w:hAnsi="Arial" w:cs="Times New Roman"/>
          <w:sz w:val="24"/>
          <w:lang w:val="en-US"/>
        </w:rPr>
        <w:t>are to</w:t>
      </w:r>
      <w:r w:rsidR="00795C03" w:rsidRPr="00795C03">
        <w:rPr>
          <w:rFonts w:ascii="Arial" w:eastAsia="Calibri" w:hAnsi="Arial" w:cs="Times New Roman"/>
          <w:sz w:val="24"/>
          <w:lang w:val="en-US"/>
        </w:rPr>
        <w:t xml:space="preserve"> have appropriate skills and experience. At least one director or member should be totally blind. </w:t>
      </w:r>
      <w:r w:rsidR="00A46E99">
        <w:rPr>
          <w:rFonts w:ascii="Arial" w:eastAsia="Calibri" w:hAnsi="Arial" w:cs="Times New Roman"/>
          <w:sz w:val="24"/>
          <w:lang w:val="en-US"/>
        </w:rPr>
        <w:t xml:space="preserve"> </w:t>
      </w:r>
      <w:r w:rsidRPr="00A46E99">
        <w:rPr>
          <w:rFonts w:ascii="Arial" w:eastAsia="Calibri" w:hAnsi="Arial" w:cs="Times New Roman"/>
          <w:sz w:val="24"/>
        </w:rPr>
        <w:t>Royal National Institute of the Blind, whose bylaws require that 75% of directors be blind or vision impaired, represents best practice</w:t>
      </w:r>
      <w:r w:rsidR="00A46E99">
        <w:rPr>
          <w:rFonts w:ascii="Arial" w:eastAsia="Calibri" w:hAnsi="Arial" w:cs="Times New Roman"/>
          <w:sz w:val="24"/>
        </w:rPr>
        <w:t>.</w:t>
      </w:r>
    </w:p>
    <w:p w14:paraId="46330356" w14:textId="77777777" w:rsidR="00795C03" w:rsidRPr="00795C03" w:rsidRDefault="00795C03" w:rsidP="00795C03">
      <w:pPr>
        <w:spacing w:after="0" w:line="240" w:lineRule="auto"/>
        <w:rPr>
          <w:rFonts w:ascii="Arial" w:eastAsia="Calibri" w:hAnsi="Arial" w:cs="Times New Roman"/>
          <w:sz w:val="24"/>
          <w:lang w:val="en-US"/>
        </w:rPr>
      </w:pPr>
    </w:p>
    <w:p w14:paraId="2E13C698" w14:textId="36430F09"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10.3 People who are blind or vision impaired must be encouraged, trained and</w:t>
      </w:r>
      <w:r w:rsidR="002765E8">
        <w:rPr>
          <w:rFonts w:ascii="Arial" w:eastAsia="Calibri" w:hAnsi="Arial" w:cs="Times New Roman"/>
          <w:sz w:val="24"/>
          <w:lang w:val="en-US"/>
        </w:rPr>
        <w:t xml:space="preserve"> supported to nominate for the b</w:t>
      </w:r>
      <w:r w:rsidRPr="00795C03">
        <w:rPr>
          <w:rFonts w:ascii="Arial" w:eastAsia="Calibri" w:hAnsi="Arial" w:cs="Times New Roman"/>
          <w:sz w:val="24"/>
          <w:lang w:val="en-US"/>
        </w:rPr>
        <w:t>oard and other committees of blindness service providers.</w:t>
      </w:r>
    </w:p>
    <w:p w14:paraId="47B69294"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42221E0B" w14:textId="026B5FAD" w:rsidR="00795C03" w:rsidRPr="00795C03" w:rsidRDefault="002765E8" w:rsidP="00795C03">
      <w:pPr>
        <w:spacing w:after="0" w:line="240" w:lineRule="auto"/>
        <w:rPr>
          <w:rFonts w:ascii="Arial" w:eastAsia="Calibri" w:hAnsi="Arial" w:cs="Times New Roman"/>
          <w:sz w:val="24"/>
          <w:lang w:val="en-US"/>
        </w:rPr>
      </w:pPr>
      <w:r>
        <w:rPr>
          <w:rFonts w:ascii="Arial" w:eastAsia="Calibri" w:hAnsi="Arial" w:cs="Times New Roman"/>
          <w:sz w:val="24"/>
          <w:lang w:val="en-US"/>
        </w:rPr>
        <w:t>10.4 It is imperative that di</w:t>
      </w:r>
      <w:r w:rsidR="00795C03" w:rsidRPr="00795C03">
        <w:rPr>
          <w:rFonts w:ascii="Arial" w:eastAsia="Calibri" w:hAnsi="Arial" w:cs="Times New Roman"/>
          <w:sz w:val="24"/>
          <w:lang w:val="en-US"/>
        </w:rPr>
        <w:t xml:space="preserve">rectors and committee members who are blind or vision impaired be resourced and supported to communicate with service users and to seek input about experiences of </w:t>
      </w:r>
      <w:r w:rsidR="00AB2DDA" w:rsidRPr="00795C03">
        <w:rPr>
          <w:rFonts w:ascii="Arial" w:eastAsia="Calibri" w:hAnsi="Arial" w:cs="Times New Roman"/>
          <w:sz w:val="24"/>
          <w:lang w:val="en-US"/>
        </w:rPr>
        <w:t>blindness that</w:t>
      </w:r>
      <w:r w:rsidR="00795C03" w:rsidRPr="00795C03">
        <w:rPr>
          <w:rFonts w:ascii="Arial" w:eastAsia="Calibri" w:hAnsi="Arial" w:cs="Times New Roman"/>
          <w:sz w:val="24"/>
          <w:lang w:val="en-US"/>
        </w:rPr>
        <w:t xml:space="preserve"> are different from their own. </w:t>
      </w:r>
    </w:p>
    <w:p w14:paraId="31E76383"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14E1786D" w14:textId="3F903F8F"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10.5 Board and committee m</w:t>
      </w:r>
      <w:r w:rsidR="002765E8">
        <w:rPr>
          <w:rFonts w:ascii="Arial" w:eastAsia="Calibri" w:hAnsi="Arial" w:cs="Times New Roman"/>
          <w:sz w:val="24"/>
          <w:lang w:val="en-US"/>
        </w:rPr>
        <w:t>aterials are to be provided to d</w:t>
      </w:r>
      <w:r w:rsidRPr="00795C03">
        <w:rPr>
          <w:rFonts w:ascii="Arial" w:eastAsia="Calibri" w:hAnsi="Arial" w:cs="Times New Roman"/>
          <w:sz w:val="24"/>
          <w:lang w:val="en-US"/>
        </w:rPr>
        <w:t>irectors and members in their preferred form</w:t>
      </w:r>
      <w:r w:rsidR="002765E8">
        <w:rPr>
          <w:rFonts w:ascii="Arial" w:eastAsia="Calibri" w:hAnsi="Arial" w:cs="Times New Roman"/>
          <w:sz w:val="24"/>
          <w:lang w:val="en-US"/>
        </w:rPr>
        <w:t>ats and all meeting venues and b</w:t>
      </w:r>
      <w:r w:rsidRPr="00795C03">
        <w:rPr>
          <w:rFonts w:ascii="Arial" w:eastAsia="Calibri" w:hAnsi="Arial" w:cs="Times New Roman"/>
          <w:sz w:val="24"/>
          <w:lang w:val="en-US"/>
        </w:rPr>
        <w:t>oard activities are required to be accessible to people who are blind or vision impaired.</w:t>
      </w:r>
    </w:p>
    <w:p w14:paraId="28D5AD4A"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2865B27F" w14:textId="6A94D143" w:rsidR="00795C03" w:rsidRPr="00A46E99" w:rsidRDefault="00795C03" w:rsidP="00795C03">
      <w:pPr>
        <w:spacing w:after="0" w:line="240" w:lineRule="auto"/>
        <w:rPr>
          <w:rFonts w:ascii="Arial" w:eastAsia="Calibri" w:hAnsi="Arial"/>
        </w:rPr>
      </w:pPr>
      <w:r w:rsidRPr="00795C03">
        <w:rPr>
          <w:rFonts w:ascii="Arial" w:eastAsia="Calibri" w:hAnsi="Arial" w:cs="Times New Roman"/>
          <w:sz w:val="24"/>
          <w:lang w:val="en-US"/>
        </w:rPr>
        <w:t>10.6 Board and committee members who do not have lived experience of blindness are to be provided with an induction which informs them about the lives of a diverse range of people who are blind or vision impaired.</w:t>
      </w:r>
      <w:r w:rsidR="00A46E99">
        <w:rPr>
          <w:rFonts w:ascii="Arial" w:eastAsia="Calibri" w:hAnsi="Arial" w:cs="Times New Roman"/>
          <w:sz w:val="24"/>
          <w:lang w:val="en-US"/>
        </w:rPr>
        <w:t xml:space="preserve">  </w:t>
      </w:r>
      <w:r w:rsidR="00A46E99" w:rsidRPr="00A46E99">
        <w:rPr>
          <w:rFonts w:ascii="Arial" w:eastAsia="Calibri" w:hAnsi="Arial"/>
          <w:sz w:val="24"/>
          <w:szCs w:val="24"/>
        </w:rPr>
        <w:t>This aspect of training or induction must be facilitated or lead by a person who is blind or vision impaired (in a paid capacity)</w:t>
      </w:r>
      <w:r w:rsidR="00A46E99">
        <w:rPr>
          <w:rFonts w:ascii="Arial" w:eastAsia="Calibri" w:hAnsi="Arial"/>
          <w:sz w:val="24"/>
          <w:szCs w:val="24"/>
        </w:rPr>
        <w:t>.</w:t>
      </w:r>
    </w:p>
    <w:p w14:paraId="607D77F8"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7329C7C8" w14:textId="388E05CB" w:rsidR="00795C03" w:rsidRDefault="00AB2DDA" w:rsidP="00795C03">
      <w:pPr>
        <w:spacing w:after="0" w:line="240" w:lineRule="auto"/>
        <w:rPr>
          <w:rFonts w:ascii="Arial" w:eastAsia="Calibri" w:hAnsi="Arial" w:cs="Times New Roman"/>
          <w:sz w:val="24"/>
          <w:lang w:val="en-US"/>
        </w:rPr>
      </w:pPr>
      <w:r>
        <w:rPr>
          <w:rFonts w:ascii="Arial" w:eastAsia="Calibri" w:hAnsi="Arial" w:cs="Times New Roman"/>
          <w:sz w:val="24"/>
          <w:lang w:val="en-US"/>
        </w:rPr>
        <w:t>10.7 Service u</w:t>
      </w:r>
      <w:r w:rsidR="00795C03" w:rsidRPr="00795C03">
        <w:rPr>
          <w:rFonts w:ascii="Arial" w:eastAsia="Calibri" w:hAnsi="Arial" w:cs="Times New Roman"/>
          <w:sz w:val="24"/>
          <w:lang w:val="en-US"/>
        </w:rPr>
        <w:t xml:space="preserve">sers must be able and encouraged to become members of blindness service providers so that they can elect governing bodies. Election material </w:t>
      </w:r>
      <w:r w:rsidR="00E2392D">
        <w:rPr>
          <w:rFonts w:ascii="Arial" w:eastAsia="Calibri" w:hAnsi="Arial" w:cs="Times New Roman"/>
          <w:sz w:val="24"/>
          <w:lang w:val="en-US"/>
        </w:rPr>
        <w:t>needs to</w:t>
      </w:r>
      <w:r w:rsidR="00795C03" w:rsidRPr="00795C03">
        <w:rPr>
          <w:rFonts w:ascii="Arial" w:eastAsia="Calibri" w:hAnsi="Arial" w:cs="Times New Roman"/>
          <w:sz w:val="24"/>
          <w:lang w:val="en-US"/>
        </w:rPr>
        <w:t xml:space="preserve"> be available in a range of formats, </w:t>
      </w:r>
      <w:r w:rsidR="00E2392D">
        <w:rPr>
          <w:rFonts w:ascii="Arial" w:eastAsia="Calibri" w:hAnsi="Arial" w:cs="Times New Roman"/>
          <w:sz w:val="24"/>
          <w:lang w:val="en-US"/>
        </w:rPr>
        <w:t>and</w:t>
      </w:r>
      <w:r w:rsidR="002765E8">
        <w:rPr>
          <w:rFonts w:ascii="Arial" w:eastAsia="Calibri" w:hAnsi="Arial" w:cs="Times New Roman"/>
          <w:sz w:val="24"/>
          <w:lang w:val="en-US"/>
        </w:rPr>
        <w:t xml:space="preserve"> to</w:t>
      </w:r>
      <w:r w:rsidR="00E2392D">
        <w:rPr>
          <w:rFonts w:ascii="Arial" w:eastAsia="Calibri" w:hAnsi="Arial" w:cs="Times New Roman"/>
          <w:sz w:val="24"/>
          <w:lang w:val="en-US"/>
        </w:rPr>
        <w:t xml:space="preserve"> be</w:t>
      </w:r>
      <w:r w:rsidR="00795C03" w:rsidRPr="00795C03">
        <w:rPr>
          <w:rFonts w:ascii="Arial" w:eastAsia="Calibri" w:hAnsi="Arial" w:cs="Times New Roman"/>
          <w:sz w:val="24"/>
          <w:lang w:val="en-US"/>
        </w:rPr>
        <w:t xml:space="preserve"> </w:t>
      </w:r>
      <w:proofErr w:type="spellStart"/>
      <w:r w:rsidR="00795C03" w:rsidRPr="00795C03">
        <w:rPr>
          <w:rFonts w:ascii="Arial" w:eastAsia="Calibri" w:hAnsi="Arial" w:cs="Times New Roman"/>
          <w:sz w:val="24"/>
          <w:lang w:val="en-US"/>
        </w:rPr>
        <w:t>publicised</w:t>
      </w:r>
      <w:proofErr w:type="spellEnd"/>
      <w:r w:rsidR="00795C03" w:rsidRPr="00795C03">
        <w:rPr>
          <w:rFonts w:ascii="Arial" w:eastAsia="Calibri" w:hAnsi="Arial" w:cs="Times New Roman"/>
          <w:sz w:val="24"/>
          <w:lang w:val="en-US"/>
        </w:rPr>
        <w:t xml:space="preserve"> widely.</w:t>
      </w:r>
    </w:p>
    <w:p w14:paraId="708DDDAE" w14:textId="1F1764D4" w:rsidR="00795C03" w:rsidRDefault="00795C03" w:rsidP="00795C03">
      <w:pPr>
        <w:spacing w:after="0" w:line="240" w:lineRule="auto"/>
        <w:rPr>
          <w:rFonts w:ascii="Arial" w:eastAsia="Calibri" w:hAnsi="Arial" w:cs="Times New Roman"/>
          <w:sz w:val="24"/>
          <w:lang w:val="en-US"/>
        </w:rPr>
      </w:pPr>
    </w:p>
    <w:p w14:paraId="025B9E89" w14:textId="1C47CA61" w:rsidR="00795C03" w:rsidRPr="005C5DE8" w:rsidRDefault="002765E8" w:rsidP="005C5DE8">
      <w:pPr>
        <w:pStyle w:val="Heading2"/>
        <w:rPr>
          <w:rFonts w:eastAsia="Calibri"/>
          <w:lang w:val="en-US"/>
        </w:rPr>
      </w:pPr>
      <w:bookmarkStart w:id="15" w:name="_Toc3205993"/>
      <w:r>
        <w:rPr>
          <w:rFonts w:eastAsia="Calibri"/>
          <w:lang w:val="en-US"/>
        </w:rPr>
        <w:t>11. Service user representation and a</w:t>
      </w:r>
      <w:r w:rsidR="00795C03" w:rsidRPr="00795C03">
        <w:rPr>
          <w:rFonts w:eastAsia="Calibri"/>
          <w:lang w:val="en-US"/>
        </w:rPr>
        <w:t>dvisory bodies</w:t>
      </w:r>
      <w:bookmarkEnd w:id="15"/>
    </w:p>
    <w:p w14:paraId="0FDD999B" w14:textId="4B24C394"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11.1 Blindness service providers must have, maintain and </w:t>
      </w:r>
      <w:proofErr w:type="spellStart"/>
      <w:r w:rsidRPr="00795C03">
        <w:rPr>
          <w:rFonts w:ascii="Arial" w:eastAsia="Calibri" w:hAnsi="Arial" w:cs="Times New Roman"/>
          <w:sz w:val="24"/>
          <w:lang w:val="en-US"/>
        </w:rPr>
        <w:t>publicise</w:t>
      </w:r>
      <w:proofErr w:type="spellEnd"/>
      <w:r w:rsidRPr="00795C03">
        <w:rPr>
          <w:rFonts w:ascii="Arial" w:eastAsia="Calibri" w:hAnsi="Arial" w:cs="Times New Roman"/>
          <w:sz w:val="24"/>
          <w:lang w:val="en-US"/>
        </w:rPr>
        <w:t xml:space="preserve"> effective </w:t>
      </w:r>
      <w:r w:rsidR="00AB2DDA" w:rsidRPr="00795C03">
        <w:rPr>
          <w:rFonts w:ascii="Arial" w:eastAsia="Calibri" w:hAnsi="Arial" w:cs="Times New Roman"/>
          <w:sz w:val="24"/>
          <w:lang w:val="en-US"/>
        </w:rPr>
        <w:t>systems that</w:t>
      </w:r>
      <w:r w:rsidRPr="00795C03">
        <w:rPr>
          <w:rFonts w:ascii="Arial" w:eastAsia="Calibri" w:hAnsi="Arial" w:cs="Times New Roman"/>
          <w:sz w:val="24"/>
          <w:lang w:val="en-US"/>
        </w:rPr>
        <w:t xml:space="preserve"> enable service users to influence their operations and the way services are delivered. The existence of these systems is to be promoted to staff and service users. </w:t>
      </w:r>
    </w:p>
    <w:p w14:paraId="435A8CC1"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03D6907F" w14:textId="54F91711" w:rsidR="00795C03" w:rsidRPr="00795C03" w:rsidRDefault="00AB2DDA" w:rsidP="00795C03">
      <w:pPr>
        <w:spacing w:after="0" w:line="240" w:lineRule="auto"/>
        <w:rPr>
          <w:rFonts w:ascii="Arial" w:eastAsia="Calibri" w:hAnsi="Arial" w:cs="Times New Roman"/>
          <w:sz w:val="24"/>
          <w:lang w:val="en-US"/>
        </w:rPr>
      </w:pPr>
      <w:r>
        <w:rPr>
          <w:rFonts w:ascii="Arial" w:eastAsia="Calibri" w:hAnsi="Arial" w:cs="Times New Roman"/>
          <w:sz w:val="24"/>
          <w:lang w:val="en-US"/>
        </w:rPr>
        <w:t xml:space="preserve">11.2 </w:t>
      </w:r>
      <w:r w:rsidR="00795C03" w:rsidRPr="00795C03">
        <w:rPr>
          <w:rFonts w:ascii="Arial" w:eastAsia="Calibri" w:hAnsi="Arial" w:cs="Times New Roman"/>
          <w:sz w:val="24"/>
          <w:lang w:val="en-US"/>
        </w:rPr>
        <w:t>It is essential that blindness service providers ensure that they receive input from</w:t>
      </w:r>
      <w:r>
        <w:rPr>
          <w:rFonts w:ascii="Arial" w:eastAsia="Calibri" w:hAnsi="Arial" w:cs="Times New Roman"/>
          <w:sz w:val="24"/>
          <w:lang w:val="en-US"/>
        </w:rPr>
        <w:t xml:space="preserve"> a range of service users to</w:t>
      </w:r>
      <w:r w:rsidR="00795C03" w:rsidRPr="00795C03">
        <w:rPr>
          <w:rFonts w:ascii="Arial" w:eastAsia="Calibri" w:hAnsi="Arial" w:cs="Times New Roman"/>
          <w:sz w:val="24"/>
          <w:lang w:val="en-US"/>
        </w:rPr>
        <w:t xml:space="preserve"> represent the diversity of people who are blind or vision impaired, including</w:t>
      </w:r>
      <w:r w:rsidR="002765E8">
        <w:rPr>
          <w:rFonts w:ascii="Arial" w:eastAsia="Calibri" w:hAnsi="Arial" w:cs="Times New Roman"/>
          <w:sz w:val="24"/>
          <w:lang w:val="en-US"/>
        </w:rPr>
        <w:t>:</w:t>
      </w:r>
      <w:r w:rsidR="00795C03" w:rsidRPr="00795C03">
        <w:rPr>
          <w:rFonts w:ascii="Arial" w:eastAsia="Calibri" w:hAnsi="Arial" w:cs="Times New Roman"/>
          <w:sz w:val="24"/>
          <w:lang w:val="en-US"/>
        </w:rPr>
        <w:t xml:space="preserve"> women,</w:t>
      </w:r>
      <w:r w:rsidR="002765E8">
        <w:rPr>
          <w:rFonts w:ascii="Arial" w:eastAsia="Calibri" w:hAnsi="Arial" w:cs="Times New Roman"/>
          <w:sz w:val="24"/>
          <w:lang w:val="en-US"/>
        </w:rPr>
        <w:t xml:space="preserve"> people of various sexual and gender identities,</w:t>
      </w:r>
      <w:r w:rsidR="00795C03" w:rsidRPr="00795C03">
        <w:rPr>
          <w:rFonts w:ascii="Arial" w:eastAsia="Calibri" w:hAnsi="Arial" w:cs="Times New Roman"/>
          <w:sz w:val="24"/>
          <w:lang w:val="en-US"/>
        </w:rPr>
        <w:t xml:space="preserve"> people with additional disabilities, Aboriginal and Torres Strait Islander people, </w:t>
      </w:r>
      <w:r w:rsidR="00795C03" w:rsidRPr="00795C03">
        <w:rPr>
          <w:rFonts w:ascii="Arial" w:eastAsia="Calibri" w:hAnsi="Arial" w:cs="Times New Roman"/>
          <w:sz w:val="24"/>
          <w:lang w:val="en-US"/>
        </w:rPr>
        <w:lastRenderedPageBreak/>
        <w:t xml:space="preserve">people from diverse cultural backgrounds </w:t>
      </w:r>
      <w:r w:rsidR="002765E8">
        <w:rPr>
          <w:rFonts w:ascii="Arial" w:eastAsia="Calibri" w:hAnsi="Arial" w:cs="Times New Roman"/>
          <w:sz w:val="24"/>
          <w:lang w:val="en-US"/>
        </w:rPr>
        <w:t xml:space="preserve">and faiths, </w:t>
      </w:r>
      <w:r w:rsidR="00795C03" w:rsidRPr="00795C03">
        <w:rPr>
          <w:rFonts w:ascii="Arial" w:eastAsia="Calibri" w:hAnsi="Arial" w:cs="Times New Roman"/>
          <w:sz w:val="24"/>
          <w:lang w:val="en-US"/>
        </w:rPr>
        <w:t>and people at different stages of life.</w:t>
      </w:r>
    </w:p>
    <w:p w14:paraId="59721D72"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09E078EE" w14:textId="0316E310"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11.3 Advisory bodies need not be elected, but where service users are appointed to them via other mechanisms, selection criteria must be transparent and </w:t>
      </w:r>
      <w:proofErr w:type="gramStart"/>
      <w:r w:rsidRPr="00795C03">
        <w:rPr>
          <w:rFonts w:ascii="Arial" w:eastAsia="Calibri" w:hAnsi="Arial" w:cs="Times New Roman"/>
          <w:sz w:val="24"/>
          <w:lang w:val="en-US"/>
        </w:rPr>
        <w:t>available</w:t>
      </w:r>
      <w:proofErr w:type="gramEnd"/>
      <w:r w:rsidRPr="00795C03">
        <w:rPr>
          <w:rFonts w:ascii="Arial" w:eastAsia="Calibri" w:hAnsi="Arial" w:cs="Times New Roman"/>
          <w:sz w:val="24"/>
          <w:lang w:val="en-US"/>
        </w:rPr>
        <w:t xml:space="preserve"> and a range of service users should be encouraged to nominate. </w:t>
      </w:r>
      <w:r w:rsidR="00A46E99">
        <w:rPr>
          <w:rFonts w:ascii="Arial" w:eastAsia="Calibri" w:hAnsi="Arial" w:cs="Times New Roman"/>
          <w:sz w:val="24"/>
        </w:rPr>
        <w:t>I</w:t>
      </w:r>
      <w:r w:rsidR="00A46E99" w:rsidRPr="00A46E99">
        <w:rPr>
          <w:rFonts w:ascii="Arial" w:eastAsia="Calibri" w:hAnsi="Arial" w:cs="Times New Roman"/>
          <w:sz w:val="24"/>
        </w:rPr>
        <w:t>t is desirable that people appointed serve fixed and limited terms and that they be replaced by new appointees with different perspectives</w:t>
      </w:r>
      <w:r w:rsidR="00A46E99">
        <w:rPr>
          <w:rFonts w:ascii="Arial" w:eastAsia="Calibri" w:hAnsi="Arial" w:cs="Times New Roman"/>
          <w:sz w:val="24"/>
        </w:rPr>
        <w:t>.</w:t>
      </w:r>
      <w:r w:rsidRPr="00795C03">
        <w:rPr>
          <w:rFonts w:ascii="Arial" w:eastAsia="Calibri" w:hAnsi="Arial" w:cs="Times New Roman"/>
          <w:sz w:val="24"/>
          <w:lang w:val="en-US"/>
        </w:rPr>
        <w:t xml:space="preserve"> </w:t>
      </w:r>
      <w:r w:rsidR="00A46E99">
        <w:rPr>
          <w:rFonts w:ascii="Arial" w:eastAsia="Calibri" w:hAnsi="Arial" w:cs="Times New Roman"/>
          <w:sz w:val="24"/>
          <w:lang w:val="en-US"/>
        </w:rPr>
        <w:t xml:space="preserve"> </w:t>
      </w:r>
      <w:r w:rsidRPr="00795C03">
        <w:rPr>
          <w:rFonts w:ascii="Arial" w:eastAsia="Calibri" w:hAnsi="Arial" w:cs="Times New Roman"/>
          <w:sz w:val="24"/>
          <w:lang w:val="en-US"/>
        </w:rPr>
        <w:t xml:space="preserve">It should be </w:t>
      </w:r>
      <w:r w:rsidR="00AB2DDA">
        <w:rPr>
          <w:rFonts w:ascii="Arial" w:eastAsia="Calibri" w:hAnsi="Arial" w:cs="Times New Roman"/>
          <w:sz w:val="24"/>
          <w:lang w:val="en-US"/>
        </w:rPr>
        <w:t xml:space="preserve">clear whether service users are </w:t>
      </w:r>
      <w:r w:rsidRPr="00795C03">
        <w:rPr>
          <w:rFonts w:ascii="Arial" w:eastAsia="Calibri" w:hAnsi="Arial" w:cs="Times New Roman"/>
          <w:sz w:val="24"/>
          <w:lang w:val="en-US"/>
        </w:rPr>
        <w:t xml:space="preserve">appointed </w:t>
      </w:r>
      <w:proofErr w:type="gramStart"/>
      <w:r w:rsidRPr="00795C03">
        <w:rPr>
          <w:rFonts w:ascii="Arial" w:eastAsia="Calibri" w:hAnsi="Arial" w:cs="Times New Roman"/>
          <w:sz w:val="24"/>
          <w:lang w:val="en-US"/>
        </w:rPr>
        <w:t>in their own r</w:t>
      </w:r>
      <w:r w:rsidR="00AB2DDA">
        <w:rPr>
          <w:rFonts w:ascii="Arial" w:eastAsia="Calibri" w:hAnsi="Arial" w:cs="Times New Roman"/>
          <w:sz w:val="24"/>
          <w:lang w:val="en-US"/>
        </w:rPr>
        <w:t>ight or</w:t>
      </w:r>
      <w:proofErr w:type="gramEnd"/>
      <w:r w:rsidR="00AB2DDA">
        <w:rPr>
          <w:rFonts w:ascii="Arial" w:eastAsia="Calibri" w:hAnsi="Arial" w:cs="Times New Roman"/>
          <w:sz w:val="24"/>
          <w:lang w:val="en-US"/>
        </w:rPr>
        <w:t xml:space="preserve"> as representatives.  W</w:t>
      </w:r>
      <w:r w:rsidRPr="00795C03">
        <w:rPr>
          <w:rFonts w:ascii="Arial" w:eastAsia="Calibri" w:hAnsi="Arial" w:cs="Times New Roman"/>
          <w:sz w:val="24"/>
          <w:lang w:val="en-US"/>
        </w:rPr>
        <w:t>here they are representatives, they are to be resourced to communicate with their constituencies.</w:t>
      </w:r>
    </w:p>
    <w:p w14:paraId="038C0620"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2DD3ADED" w14:textId="4F077170" w:rsidR="00795C03" w:rsidRPr="00795C03" w:rsidRDefault="00795C03" w:rsidP="00795C03">
      <w:pPr>
        <w:spacing w:after="0" w:line="240" w:lineRule="auto"/>
        <w:rPr>
          <w:rFonts w:ascii="Arial" w:eastAsia="Calibri" w:hAnsi="Arial" w:cs="Times New Roman"/>
          <w:sz w:val="24"/>
          <w:lang w:val="en-US"/>
        </w:rPr>
      </w:pPr>
      <w:proofErr w:type="gramStart"/>
      <w:r w:rsidRPr="00795C03">
        <w:rPr>
          <w:rFonts w:ascii="Arial" w:eastAsia="Calibri" w:hAnsi="Arial" w:cs="Times New Roman"/>
          <w:sz w:val="24"/>
          <w:lang w:val="en-US"/>
        </w:rPr>
        <w:t>11.4  Where</w:t>
      </w:r>
      <w:proofErr w:type="gramEnd"/>
      <w:r w:rsidRPr="00795C03">
        <w:rPr>
          <w:rFonts w:ascii="Arial" w:eastAsia="Calibri" w:hAnsi="Arial" w:cs="Times New Roman"/>
          <w:sz w:val="24"/>
          <w:lang w:val="en-US"/>
        </w:rPr>
        <w:t xml:space="preserve"> advice is given by an advisory body, there needs to be a clear pathway for responses to that advi</w:t>
      </w:r>
      <w:r w:rsidR="00AB2DDA">
        <w:rPr>
          <w:rFonts w:ascii="Arial" w:eastAsia="Calibri" w:hAnsi="Arial" w:cs="Times New Roman"/>
          <w:sz w:val="24"/>
          <w:lang w:val="en-US"/>
        </w:rPr>
        <w:t>ce.  Leadership teams and g</w:t>
      </w:r>
      <w:r w:rsidRPr="00795C03">
        <w:rPr>
          <w:rFonts w:ascii="Arial" w:eastAsia="Calibri" w:hAnsi="Arial" w:cs="Times New Roman"/>
          <w:sz w:val="24"/>
          <w:lang w:val="en-US"/>
        </w:rPr>
        <w:t>overning bodies are</w:t>
      </w:r>
      <w:r w:rsidR="00AB2DDA">
        <w:rPr>
          <w:rFonts w:ascii="Arial" w:eastAsia="Calibri" w:hAnsi="Arial" w:cs="Times New Roman"/>
          <w:sz w:val="24"/>
          <w:lang w:val="en-US"/>
        </w:rPr>
        <w:t xml:space="preserve"> to be</w:t>
      </w:r>
      <w:r w:rsidRPr="00795C03">
        <w:rPr>
          <w:rFonts w:ascii="Arial" w:eastAsia="Calibri" w:hAnsi="Arial" w:cs="Times New Roman"/>
          <w:sz w:val="24"/>
          <w:lang w:val="en-US"/>
        </w:rPr>
        <w:t xml:space="preserve"> </w:t>
      </w:r>
      <w:r w:rsidR="00AB2DDA">
        <w:rPr>
          <w:rFonts w:ascii="Arial" w:eastAsia="Calibri" w:hAnsi="Arial" w:cs="Times New Roman"/>
          <w:sz w:val="24"/>
          <w:lang w:val="en-US"/>
        </w:rPr>
        <w:t>accountable for responding to the advice</w:t>
      </w:r>
      <w:r w:rsidRPr="00795C03">
        <w:rPr>
          <w:rFonts w:ascii="Arial" w:eastAsia="Calibri" w:hAnsi="Arial" w:cs="Times New Roman"/>
          <w:sz w:val="24"/>
          <w:lang w:val="en-US"/>
        </w:rPr>
        <w:t xml:space="preserve"> in a timely and efficient manner.</w:t>
      </w:r>
    </w:p>
    <w:p w14:paraId="2CC42EB2" w14:textId="77777777" w:rsidR="00795C03" w:rsidRPr="00795C03" w:rsidRDefault="00795C03" w:rsidP="00795C03">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 xml:space="preserve"> </w:t>
      </w:r>
    </w:p>
    <w:p w14:paraId="03F525F2" w14:textId="71D145B3" w:rsidR="000B0B73" w:rsidRPr="002B4AB0" w:rsidRDefault="00795C03" w:rsidP="00712B2B">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11.5 Advisory bodies should meet regularly and need to be able to consider matters referred to them by governing bodies or by service users.</w:t>
      </w:r>
    </w:p>
    <w:p w14:paraId="10940B68" w14:textId="37863AE6" w:rsidR="007E2483" w:rsidRPr="005C5DE8" w:rsidRDefault="00712B2B" w:rsidP="005C5DE8">
      <w:pPr>
        <w:pStyle w:val="Heading1"/>
        <w:keepNext/>
        <w:keepLines/>
        <w:spacing w:before="360"/>
        <w:ind w:left="851" w:hanging="851"/>
        <w:jc w:val="left"/>
        <w:rPr>
          <w:kern w:val="0"/>
          <w:sz w:val="28"/>
          <w:szCs w:val="28"/>
        </w:rPr>
      </w:pPr>
      <w:bookmarkStart w:id="16" w:name="_Toc3205994"/>
      <w:r>
        <w:rPr>
          <w:kern w:val="0"/>
          <w:sz w:val="28"/>
          <w:szCs w:val="28"/>
        </w:rPr>
        <w:t>12</w:t>
      </w:r>
      <w:r w:rsidR="000B0B73" w:rsidRPr="00AE7796">
        <w:rPr>
          <w:kern w:val="0"/>
          <w:sz w:val="28"/>
          <w:szCs w:val="28"/>
        </w:rPr>
        <w:t>. How this policy should be used</w:t>
      </w:r>
      <w:bookmarkEnd w:id="16"/>
    </w:p>
    <w:p w14:paraId="282A40F6" w14:textId="77777777" w:rsidR="00784C7E" w:rsidRDefault="00784C7E" w:rsidP="00784C7E">
      <w:pPr>
        <w:pStyle w:val="ListParagraph"/>
        <w:numPr>
          <w:ilvl w:val="0"/>
          <w:numId w:val="19"/>
        </w:numPr>
        <w:spacing w:after="0" w:line="240" w:lineRule="auto"/>
        <w:rPr>
          <w:rFonts w:ascii="Arial" w:hAnsi="Arial" w:cs="Arial"/>
          <w:sz w:val="24"/>
          <w:szCs w:val="24"/>
          <w:lang w:val="en-US"/>
        </w:rPr>
      </w:pPr>
      <w:r>
        <w:rPr>
          <w:rFonts w:ascii="Arial" w:hAnsi="Arial" w:cs="Arial"/>
          <w:sz w:val="24"/>
          <w:szCs w:val="24"/>
          <w:lang w:val="en-US"/>
        </w:rPr>
        <w:t>This policy is available on BCA’s website, and in your preferred format on request.</w:t>
      </w:r>
    </w:p>
    <w:p w14:paraId="780AE9DE" w14:textId="77777777" w:rsidR="00784C7E" w:rsidRDefault="00784C7E" w:rsidP="00784C7E">
      <w:pPr>
        <w:pStyle w:val="ListParagraph"/>
        <w:numPr>
          <w:ilvl w:val="0"/>
          <w:numId w:val="19"/>
        </w:numPr>
        <w:spacing w:after="0" w:line="240" w:lineRule="auto"/>
        <w:rPr>
          <w:rFonts w:ascii="Arial" w:hAnsi="Arial" w:cs="Arial"/>
          <w:sz w:val="24"/>
          <w:szCs w:val="24"/>
          <w:lang w:val="en"/>
        </w:rPr>
      </w:pPr>
      <w:r>
        <w:rPr>
          <w:rFonts w:ascii="Arial" w:hAnsi="Arial" w:cs="Arial"/>
          <w:sz w:val="24"/>
          <w:szCs w:val="24"/>
          <w:lang w:val="en"/>
        </w:rPr>
        <w:t xml:space="preserve">This policy can be used by individuals receiving or seeking blindness-specific services, wherever they live </w:t>
      </w:r>
      <w:proofErr w:type="gramStart"/>
      <w:r>
        <w:rPr>
          <w:rFonts w:ascii="Arial" w:hAnsi="Arial" w:cs="Arial"/>
          <w:sz w:val="24"/>
          <w:szCs w:val="24"/>
          <w:lang w:val="en"/>
        </w:rPr>
        <w:t>and in all contexts</w:t>
      </w:r>
      <w:proofErr w:type="gramEnd"/>
      <w:r>
        <w:rPr>
          <w:rFonts w:ascii="Arial" w:hAnsi="Arial" w:cs="Arial"/>
          <w:sz w:val="24"/>
          <w:szCs w:val="24"/>
          <w:lang w:val="en"/>
        </w:rPr>
        <w:t>, and irrespective of which service provider is involved.</w:t>
      </w:r>
    </w:p>
    <w:p w14:paraId="55BAD4F2" w14:textId="77777777" w:rsidR="00784C7E" w:rsidRDefault="00784C7E" w:rsidP="00784C7E">
      <w:pPr>
        <w:pStyle w:val="ListParagraph"/>
        <w:numPr>
          <w:ilvl w:val="0"/>
          <w:numId w:val="19"/>
        </w:numPr>
        <w:spacing w:after="0" w:line="240" w:lineRule="auto"/>
        <w:rPr>
          <w:rFonts w:ascii="Arial" w:hAnsi="Arial" w:cs="Arial"/>
          <w:sz w:val="24"/>
          <w:szCs w:val="24"/>
          <w:lang w:val="en"/>
        </w:rPr>
      </w:pPr>
      <w:r>
        <w:rPr>
          <w:rFonts w:ascii="Arial" w:hAnsi="Arial" w:cs="Arial"/>
          <w:sz w:val="24"/>
          <w:szCs w:val="24"/>
          <w:lang w:val="en"/>
        </w:rPr>
        <w:t xml:space="preserve">Implementation of this policy will enable service users to receive a consistent approach to service delivery and to be at the forefront of service provision and </w:t>
      </w:r>
      <w:proofErr w:type="spellStart"/>
      <w:r>
        <w:rPr>
          <w:rFonts w:ascii="Arial" w:hAnsi="Arial" w:cs="Arial"/>
          <w:sz w:val="24"/>
          <w:szCs w:val="24"/>
          <w:lang w:val="en"/>
        </w:rPr>
        <w:t>organisational</w:t>
      </w:r>
      <w:proofErr w:type="spellEnd"/>
      <w:r>
        <w:rPr>
          <w:rFonts w:ascii="Arial" w:hAnsi="Arial" w:cs="Arial"/>
          <w:sz w:val="24"/>
          <w:szCs w:val="24"/>
          <w:lang w:val="en"/>
        </w:rPr>
        <w:t xml:space="preserve"> decision-making.</w:t>
      </w:r>
    </w:p>
    <w:p w14:paraId="7B8825F2" w14:textId="69C5A643" w:rsidR="00784C7E" w:rsidRDefault="00784C7E" w:rsidP="00784C7E">
      <w:pPr>
        <w:pStyle w:val="ListParagraph"/>
        <w:numPr>
          <w:ilvl w:val="0"/>
          <w:numId w:val="19"/>
        </w:numPr>
        <w:spacing w:line="252" w:lineRule="auto"/>
        <w:rPr>
          <w:rFonts w:ascii="Arial" w:hAnsi="Arial" w:cs="Arial"/>
          <w:sz w:val="24"/>
          <w:szCs w:val="24"/>
          <w:lang w:val="en-US"/>
        </w:rPr>
      </w:pPr>
      <w:r>
        <w:rPr>
          <w:rFonts w:ascii="Arial" w:hAnsi="Arial" w:cs="Arial"/>
          <w:sz w:val="24"/>
          <w:szCs w:val="24"/>
          <w:lang w:val="en-US"/>
        </w:rPr>
        <w:t>Blindness service providers will be invited to assess their services in relation to this policy and to report on their progress in meeting its expectations.</w:t>
      </w:r>
    </w:p>
    <w:p w14:paraId="314BEC7C" w14:textId="74AE774C" w:rsidR="00927292" w:rsidRPr="005C5DE8" w:rsidRDefault="00712B2B" w:rsidP="005C5DE8">
      <w:pPr>
        <w:pStyle w:val="Heading1"/>
        <w:keepNext/>
        <w:keepLines/>
        <w:spacing w:before="360"/>
        <w:ind w:left="851" w:hanging="851"/>
        <w:jc w:val="left"/>
        <w:rPr>
          <w:kern w:val="0"/>
          <w:sz w:val="28"/>
          <w:szCs w:val="28"/>
        </w:rPr>
      </w:pPr>
      <w:bookmarkStart w:id="17" w:name="_Toc3205995"/>
      <w:r>
        <w:rPr>
          <w:kern w:val="0"/>
          <w:sz w:val="28"/>
          <w:szCs w:val="28"/>
        </w:rPr>
        <w:t>13</w:t>
      </w:r>
      <w:r w:rsidR="0090679F">
        <w:rPr>
          <w:kern w:val="0"/>
          <w:sz w:val="28"/>
          <w:szCs w:val="28"/>
        </w:rPr>
        <w:t>.</w:t>
      </w:r>
      <w:r w:rsidR="005C5DE8">
        <w:rPr>
          <w:kern w:val="0"/>
          <w:sz w:val="28"/>
          <w:szCs w:val="28"/>
        </w:rPr>
        <w:t xml:space="preserve"> </w:t>
      </w:r>
      <w:r w:rsidR="00927292" w:rsidRPr="002B4AB0">
        <w:rPr>
          <w:kern w:val="0"/>
          <w:sz w:val="28"/>
          <w:szCs w:val="28"/>
        </w:rPr>
        <w:t>Glossary of key terms</w:t>
      </w:r>
      <w:bookmarkEnd w:id="17"/>
    </w:p>
    <w:p w14:paraId="1BE2CF66" w14:textId="5572A300" w:rsidR="002D3990" w:rsidRPr="00795C03" w:rsidRDefault="00795C03" w:rsidP="00AB2DDA">
      <w:pPr>
        <w:spacing w:after="0" w:line="240" w:lineRule="auto"/>
        <w:rPr>
          <w:rFonts w:ascii="Arial" w:eastAsia="Calibri" w:hAnsi="Arial" w:cs="Times New Roman"/>
          <w:sz w:val="24"/>
          <w:lang w:val="en-US"/>
        </w:rPr>
      </w:pPr>
      <w:r w:rsidRPr="00795C03">
        <w:rPr>
          <w:rFonts w:ascii="Arial" w:eastAsia="Calibri" w:hAnsi="Arial" w:cs="Times New Roman"/>
          <w:sz w:val="24"/>
          <w:lang w:val="en-US"/>
        </w:rPr>
        <w:t>In this document, these words have these meanings:</w:t>
      </w:r>
    </w:p>
    <w:p w14:paraId="22C6001B" w14:textId="35336760" w:rsidR="002D3990" w:rsidRPr="00795C03" w:rsidRDefault="00795C03" w:rsidP="002D3990">
      <w:pPr>
        <w:spacing w:line="276" w:lineRule="auto"/>
        <w:rPr>
          <w:rFonts w:ascii="Arial" w:eastAsia="Calibri" w:hAnsi="Arial" w:cs="Times New Roman"/>
          <w:sz w:val="24"/>
          <w:lang w:val="en-US"/>
        </w:rPr>
      </w:pPr>
      <w:r w:rsidRPr="00795C03">
        <w:rPr>
          <w:rFonts w:ascii="Arial" w:eastAsia="Calibri" w:hAnsi="Arial" w:cs="Times New Roman"/>
          <w:sz w:val="24"/>
          <w:lang w:val="en-US"/>
        </w:rPr>
        <w:t>Blind person: includes any person who is legally blind or has a vision impairment or</w:t>
      </w:r>
      <w:r w:rsidR="007F05A7">
        <w:rPr>
          <w:rFonts w:ascii="Arial" w:eastAsia="Calibri" w:hAnsi="Arial" w:cs="Times New Roman"/>
          <w:sz w:val="24"/>
          <w:lang w:val="en-US"/>
        </w:rPr>
        <w:t xml:space="preserve"> who seeks a service from a blindness service provider</w:t>
      </w:r>
      <w:r w:rsidRPr="00795C03">
        <w:rPr>
          <w:rFonts w:ascii="Arial" w:eastAsia="Calibri" w:hAnsi="Arial" w:cs="Times New Roman"/>
          <w:sz w:val="24"/>
          <w:lang w:val="en-US"/>
        </w:rPr>
        <w:t xml:space="preserve"> because their disability is or includes loss of vision.</w:t>
      </w:r>
    </w:p>
    <w:p w14:paraId="600A442F" w14:textId="3C5A9650" w:rsidR="002D3990" w:rsidRDefault="00795C03" w:rsidP="002D3990">
      <w:pPr>
        <w:spacing w:line="276" w:lineRule="auto"/>
        <w:rPr>
          <w:rFonts w:ascii="Arial" w:eastAsia="Calibri" w:hAnsi="Arial" w:cs="Times New Roman"/>
          <w:sz w:val="24"/>
          <w:lang w:val="en-US"/>
        </w:rPr>
      </w:pPr>
      <w:r w:rsidRPr="00795C03">
        <w:rPr>
          <w:rFonts w:ascii="Arial" w:eastAsia="Calibri" w:hAnsi="Arial" w:cs="Times New Roman"/>
          <w:sz w:val="24"/>
          <w:lang w:val="en-US"/>
        </w:rPr>
        <w:t>Blindness: includes vision impairment or low vision.</w:t>
      </w:r>
    </w:p>
    <w:p w14:paraId="361E44C7" w14:textId="4A088B28" w:rsidR="002D3990" w:rsidRDefault="00AB2DDA" w:rsidP="002D3990">
      <w:pPr>
        <w:spacing w:line="276" w:lineRule="auto"/>
        <w:rPr>
          <w:rFonts w:ascii="Arial" w:eastAsia="Calibri" w:hAnsi="Arial" w:cs="Times New Roman"/>
          <w:sz w:val="24"/>
          <w:lang w:val="en-US"/>
        </w:rPr>
      </w:pPr>
      <w:r>
        <w:rPr>
          <w:rFonts w:ascii="Arial" w:eastAsia="Calibri" w:hAnsi="Arial" w:cs="Times New Roman"/>
          <w:sz w:val="24"/>
          <w:lang w:val="en-US"/>
        </w:rPr>
        <w:t>Blindness service p</w:t>
      </w:r>
      <w:r w:rsidR="00795C03" w:rsidRPr="00795C03">
        <w:rPr>
          <w:rFonts w:ascii="Arial" w:eastAsia="Calibri" w:hAnsi="Arial" w:cs="Times New Roman"/>
          <w:sz w:val="24"/>
          <w:lang w:val="en-US"/>
        </w:rPr>
        <w:t xml:space="preserve">rovider: means any </w:t>
      </w:r>
      <w:proofErr w:type="spellStart"/>
      <w:r w:rsidR="00795C03" w:rsidRPr="00795C03">
        <w:rPr>
          <w:rFonts w:ascii="Arial" w:eastAsia="Calibri" w:hAnsi="Arial" w:cs="Times New Roman"/>
          <w:sz w:val="24"/>
          <w:lang w:val="en-US"/>
        </w:rPr>
        <w:t>organisation</w:t>
      </w:r>
      <w:proofErr w:type="spellEnd"/>
      <w:r w:rsidR="00795C03" w:rsidRPr="00795C03">
        <w:rPr>
          <w:rFonts w:ascii="Arial" w:eastAsia="Calibri" w:hAnsi="Arial" w:cs="Times New Roman"/>
          <w:sz w:val="24"/>
          <w:lang w:val="en-US"/>
        </w:rPr>
        <w:t xml:space="preserve"> whose main focus is providing services to blind people or which portrays itself to the public as being in existence to assist people who are blind or vision impaired.</w:t>
      </w:r>
    </w:p>
    <w:p w14:paraId="6016FC13" w14:textId="53426B61" w:rsidR="00927292" w:rsidRPr="002B4AB0" w:rsidRDefault="00795C03" w:rsidP="002D3990">
      <w:pPr>
        <w:spacing w:line="276" w:lineRule="auto"/>
        <w:rPr>
          <w:rFonts w:ascii="Arial" w:eastAsia="Calibri" w:hAnsi="Arial" w:cs="Times New Roman"/>
          <w:sz w:val="24"/>
          <w:lang w:val="en-US"/>
        </w:rPr>
      </w:pPr>
      <w:r w:rsidRPr="00795C03">
        <w:rPr>
          <w:rFonts w:ascii="Arial" w:eastAsia="Calibri" w:hAnsi="Arial" w:cs="Times New Roman"/>
          <w:sz w:val="24"/>
          <w:lang w:val="en-US"/>
        </w:rPr>
        <w:t>Service user: means any person who wishes to become,</w:t>
      </w:r>
      <w:r>
        <w:rPr>
          <w:rFonts w:ascii="Arial" w:eastAsia="Calibri" w:hAnsi="Arial" w:cs="Times New Roman"/>
          <w:sz w:val="24"/>
          <w:lang w:val="en-US"/>
        </w:rPr>
        <w:t xml:space="preserve"> </w:t>
      </w:r>
      <w:r w:rsidRPr="00795C03">
        <w:rPr>
          <w:rFonts w:ascii="Arial" w:eastAsia="Calibri" w:hAnsi="Arial" w:cs="Times New Roman"/>
          <w:sz w:val="24"/>
          <w:lang w:val="en-US"/>
        </w:rPr>
        <w:t>is or has been a user of a blindness service.</w:t>
      </w:r>
    </w:p>
    <w:sectPr w:rsidR="00927292" w:rsidRPr="002B4AB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FE6D" w14:textId="77777777" w:rsidR="007D7625" w:rsidRDefault="007D7625" w:rsidP="002B4AB0">
      <w:pPr>
        <w:spacing w:after="0" w:line="240" w:lineRule="auto"/>
      </w:pPr>
      <w:r>
        <w:separator/>
      </w:r>
    </w:p>
  </w:endnote>
  <w:endnote w:type="continuationSeparator" w:id="0">
    <w:p w14:paraId="78238502" w14:textId="77777777" w:rsidR="007D7625" w:rsidRDefault="007D7625" w:rsidP="002B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372867"/>
      <w:docPartObj>
        <w:docPartGallery w:val="Page Numbers (Bottom of Page)"/>
        <w:docPartUnique/>
      </w:docPartObj>
    </w:sdtPr>
    <w:sdtEndPr>
      <w:rPr>
        <w:noProof/>
      </w:rPr>
    </w:sdtEndPr>
    <w:sdtContent>
      <w:p w14:paraId="26DCB882" w14:textId="0F830C49" w:rsidR="005B23D5" w:rsidRDefault="005B23D5">
        <w:pPr>
          <w:pStyle w:val="Footer"/>
          <w:jc w:val="right"/>
        </w:pPr>
        <w:r>
          <w:fldChar w:fldCharType="begin"/>
        </w:r>
        <w:r>
          <w:instrText xml:space="preserve"> PAGE   \* MERGEFORMAT </w:instrText>
        </w:r>
        <w:r>
          <w:fldChar w:fldCharType="separate"/>
        </w:r>
        <w:r w:rsidR="001612D5">
          <w:rPr>
            <w:noProof/>
          </w:rPr>
          <w:t>7</w:t>
        </w:r>
        <w:r>
          <w:rPr>
            <w:noProof/>
          </w:rPr>
          <w:fldChar w:fldCharType="end"/>
        </w:r>
      </w:p>
    </w:sdtContent>
  </w:sdt>
  <w:p w14:paraId="40769969" w14:textId="77777777" w:rsidR="005B23D5" w:rsidRDefault="005B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77FF" w14:textId="77777777" w:rsidR="007D7625" w:rsidRDefault="007D7625" w:rsidP="002B4AB0">
      <w:pPr>
        <w:spacing w:after="0" w:line="240" w:lineRule="auto"/>
      </w:pPr>
      <w:r>
        <w:separator/>
      </w:r>
    </w:p>
  </w:footnote>
  <w:footnote w:type="continuationSeparator" w:id="0">
    <w:p w14:paraId="1CAF0600" w14:textId="77777777" w:rsidR="007D7625" w:rsidRDefault="007D7625" w:rsidP="002B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4C83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7551"/>
    <w:multiLevelType w:val="hybridMultilevel"/>
    <w:tmpl w:val="EE20F3BE"/>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0F84"/>
    <w:multiLevelType w:val="hybridMultilevel"/>
    <w:tmpl w:val="CAE40FC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547856"/>
    <w:multiLevelType w:val="hybridMultilevel"/>
    <w:tmpl w:val="A918B272"/>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B320CA"/>
    <w:multiLevelType w:val="hybridMultilevel"/>
    <w:tmpl w:val="44341004"/>
    <w:lvl w:ilvl="0" w:tplc="3806B320">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E6BD4"/>
    <w:multiLevelType w:val="hybridMultilevel"/>
    <w:tmpl w:val="E6E0ADD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44C25"/>
    <w:multiLevelType w:val="hybridMultilevel"/>
    <w:tmpl w:val="BC3CDC5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572CF"/>
    <w:multiLevelType w:val="hybridMultilevel"/>
    <w:tmpl w:val="5CCC7E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F323040"/>
    <w:multiLevelType w:val="hybridMultilevel"/>
    <w:tmpl w:val="ABF8F666"/>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9DD612F"/>
    <w:multiLevelType w:val="hybridMultilevel"/>
    <w:tmpl w:val="41B41370"/>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4C4732"/>
    <w:multiLevelType w:val="hybridMultilevel"/>
    <w:tmpl w:val="DD521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97E1B"/>
    <w:multiLevelType w:val="hybridMultilevel"/>
    <w:tmpl w:val="4AC4D906"/>
    <w:lvl w:ilvl="0" w:tplc="1A9C3F42">
      <w:start w:val="1"/>
      <w:numFmt w:val="decimal"/>
      <w:lvlText w:val="%1."/>
      <w:lvlJc w:val="left"/>
      <w:pPr>
        <w:ind w:left="720" w:hanging="360"/>
      </w:pPr>
      <w:rPr>
        <w:rFonts w:eastAsia="Times New Roman"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232FF5"/>
    <w:multiLevelType w:val="hybridMultilevel"/>
    <w:tmpl w:val="FA3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D92131"/>
    <w:multiLevelType w:val="hybridMultilevel"/>
    <w:tmpl w:val="FDD0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4E7DC1"/>
    <w:multiLevelType w:val="hybridMultilevel"/>
    <w:tmpl w:val="3BCC4CC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D04FC"/>
    <w:multiLevelType w:val="hybridMultilevel"/>
    <w:tmpl w:val="B440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1"/>
  </w:num>
  <w:num w:numId="4">
    <w:abstractNumId w:val="5"/>
  </w:num>
  <w:num w:numId="5">
    <w:abstractNumId w:val="10"/>
  </w:num>
  <w:num w:numId="6">
    <w:abstractNumId w:val="1"/>
  </w:num>
  <w:num w:numId="7">
    <w:abstractNumId w:val="6"/>
  </w:num>
  <w:num w:numId="8">
    <w:abstractNumId w:val="9"/>
  </w:num>
  <w:num w:numId="9">
    <w:abstractNumId w:val="8"/>
  </w:num>
  <w:num w:numId="10">
    <w:abstractNumId w:val="14"/>
  </w:num>
  <w:num w:numId="11">
    <w:abstractNumId w:val="16"/>
  </w:num>
  <w:num w:numId="12">
    <w:abstractNumId w:val="4"/>
  </w:num>
  <w:num w:numId="13">
    <w:abstractNumId w:val="7"/>
  </w:num>
  <w:num w:numId="14">
    <w:abstractNumId w:val="15"/>
  </w:num>
  <w:num w:numId="15">
    <w:abstractNumId w:val="2"/>
  </w:num>
  <w:num w:numId="16">
    <w:abstractNumId w:val="3"/>
  </w:num>
  <w:num w:numId="17">
    <w:abstractNumId w:val="13"/>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1C"/>
    <w:rsid w:val="000029F4"/>
    <w:rsid w:val="00034F60"/>
    <w:rsid w:val="000B0B73"/>
    <w:rsid w:val="000D1693"/>
    <w:rsid w:val="001025F3"/>
    <w:rsid w:val="001612D5"/>
    <w:rsid w:val="00181E76"/>
    <w:rsid w:val="001F52C3"/>
    <w:rsid w:val="001F54E9"/>
    <w:rsid w:val="002046F5"/>
    <w:rsid w:val="002765E8"/>
    <w:rsid w:val="0027712B"/>
    <w:rsid w:val="002805F0"/>
    <w:rsid w:val="002B4AB0"/>
    <w:rsid w:val="002C4578"/>
    <w:rsid w:val="002D3990"/>
    <w:rsid w:val="002E52C1"/>
    <w:rsid w:val="002E6545"/>
    <w:rsid w:val="003341E3"/>
    <w:rsid w:val="00353D02"/>
    <w:rsid w:val="003542AB"/>
    <w:rsid w:val="00363285"/>
    <w:rsid w:val="00372FD9"/>
    <w:rsid w:val="003A48D1"/>
    <w:rsid w:val="003C4579"/>
    <w:rsid w:val="003E3DFA"/>
    <w:rsid w:val="00426B6E"/>
    <w:rsid w:val="004330A1"/>
    <w:rsid w:val="0045015D"/>
    <w:rsid w:val="004D1F68"/>
    <w:rsid w:val="004F0317"/>
    <w:rsid w:val="005106DF"/>
    <w:rsid w:val="00523952"/>
    <w:rsid w:val="00574B08"/>
    <w:rsid w:val="005914D5"/>
    <w:rsid w:val="005A054B"/>
    <w:rsid w:val="005B23D5"/>
    <w:rsid w:val="005C5DE8"/>
    <w:rsid w:val="005D25F9"/>
    <w:rsid w:val="005D4FF2"/>
    <w:rsid w:val="005E4657"/>
    <w:rsid w:val="005F2F4D"/>
    <w:rsid w:val="0060349A"/>
    <w:rsid w:val="0064063E"/>
    <w:rsid w:val="00670662"/>
    <w:rsid w:val="006B15E5"/>
    <w:rsid w:val="006C7E4C"/>
    <w:rsid w:val="00712B2B"/>
    <w:rsid w:val="00720B3B"/>
    <w:rsid w:val="0072578B"/>
    <w:rsid w:val="00734486"/>
    <w:rsid w:val="00750B6A"/>
    <w:rsid w:val="0075616B"/>
    <w:rsid w:val="00783CD1"/>
    <w:rsid w:val="00784C7E"/>
    <w:rsid w:val="007876C6"/>
    <w:rsid w:val="007944DA"/>
    <w:rsid w:val="007952C9"/>
    <w:rsid w:val="00795C03"/>
    <w:rsid w:val="007D7625"/>
    <w:rsid w:val="007E2483"/>
    <w:rsid w:val="007F05A7"/>
    <w:rsid w:val="008141A8"/>
    <w:rsid w:val="00816C7E"/>
    <w:rsid w:val="00824F38"/>
    <w:rsid w:val="00882F83"/>
    <w:rsid w:val="00885994"/>
    <w:rsid w:val="008A0348"/>
    <w:rsid w:val="008B5444"/>
    <w:rsid w:val="0090679F"/>
    <w:rsid w:val="009103FB"/>
    <w:rsid w:val="00927292"/>
    <w:rsid w:val="00930A18"/>
    <w:rsid w:val="0093264E"/>
    <w:rsid w:val="00947C00"/>
    <w:rsid w:val="00953DB5"/>
    <w:rsid w:val="009805F0"/>
    <w:rsid w:val="009920DB"/>
    <w:rsid w:val="00995A68"/>
    <w:rsid w:val="009B5628"/>
    <w:rsid w:val="009D13D5"/>
    <w:rsid w:val="009F0BBB"/>
    <w:rsid w:val="009F2511"/>
    <w:rsid w:val="009F2DF4"/>
    <w:rsid w:val="00A07B2B"/>
    <w:rsid w:val="00A439CE"/>
    <w:rsid w:val="00A46E99"/>
    <w:rsid w:val="00A85D04"/>
    <w:rsid w:val="00AB2DDA"/>
    <w:rsid w:val="00AE291C"/>
    <w:rsid w:val="00AE4B28"/>
    <w:rsid w:val="00AE7796"/>
    <w:rsid w:val="00AF0095"/>
    <w:rsid w:val="00AF64DA"/>
    <w:rsid w:val="00B15FCA"/>
    <w:rsid w:val="00B54FCB"/>
    <w:rsid w:val="00BA741C"/>
    <w:rsid w:val="00BB4F0F"/>
    <w:rsid w:val="00BC4D8A"/>
    <w:rsid w:val="00BD2E6E"/>
    <w:rsid w:val="00BD4866"/>
    <w:rsid w:val="00CA3A1A"/>
    <w:rsid w:val="00CC557A"/>
    <w:rsid w:val="00CD4A96"/>
    <w:rsid w:val="00CE34AB"/>
    <w:rsid w:val="00D22F25"/>
    <w:rsid w:val="00D25294"/>
    <w:rsid w:val="00D35558"/>
    <w:rsid w:val="00D430F6"/>
    <w:rsid w:val="00D55060"/>
    <w:rsid w:val="00D967CB"/>
    <w:rsid w:val="00DB5263"/>
    <w:rsid w:val="00DF6153"/>
    <w:rsid w:val="00E2392D"/>
    <w:rsid w:val="00E245EA"/>
    <w:rsid w:val="00E64A07"/>
    <w:rsid w:val="00EA5D22"/>
    <w:rsid w:val="00EB1A6D"/>
    <w:rsid w:val="00EC15BE"/>
    <w:rsid w:val="00EC700E"/>
    <w:rsid w:val="00ED5C7A"/>
    <w:rsid w:val="00F11871"/>
    <w:rsid w:val="00F407FC"/>
    <w:rsid w:val="00F540BE"/>
    <w:rsid w:val="00F64C11"/>
    <w:rsid w:val="00FC5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94"/>
  <w15:chartTrackingRefBased/>
  <w15:docId w15:val="{7802269F-9303-4FDB-9C19-33125019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C557A"/>
    <w:pPr>
      <w:spacing w:after="0" w:line="240" w:lineRule="auto"/>
      <w:jc w:val="center"/>
      <w:outlineLvl w:val="0"/>
    </w:pPr>
    <w:rPr>
      <w:rFonts w:ascii="Arial" w:eastAsia="Times New Roman" w:hAnsi="Arial" w:cs="Times New Roman"/>
      <w:b/>
      <w:bCs/>
      <w:kern w:val="36"/>
      <w:sz w:val="40"/>
      <w:szCs w:val="48"/>
      <w:lang w:eastAsia="en-AU"/>
    </w:rPr>
  </w:style>
  <w:style w:type="paragraph" w:styleId="Heading2">
    <w:name w:val="heading 2"/>
    <w:basedOn w:val="Normal"/>
    <w:next w:val="Normal"/>
    <w:link w:val="Heading2Char"/>
    <w:uiPriority w:val="9"/>
    <w:unhideWhenUsed/>
    <w:qFormat/>
    <w:rsid w:val="005106DF"/>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57A"/>
    <w:rPr>
      <w:rFonts w:ascii="Arial" w:eastAsia="Times New Roman" w:hAnsi="Arial" w:cs="Times New Roman"/>
      <w:b/>
      <w:bCs/>
      <w:kern w:val="36"/>
      <w:sz w:val="40"/>
      <w:szCs w:val="48"/>
      <w:lang w:eastAsia="en-AU"/>
    </w:rPr>
  </w:style>
  <w:style w:type="paragraph" w:styleId="ListBullet">
    <w:name w:val="List Bullet"/>
    <w:basedOn w:val="Normal"/>
    <w:uiPriority w:val="99"/>
    <w:unhideWhenUsed/>
    <w:rsid w:val="00ED5C7A"/>
    <w:pPr>
      <w:numPr>
        <w:numId w:val="1"/>
      </w:numPr>
      <w:contextualSpacing/>
    </w:pPr>
  </w:style>
  <w:style w:type="character" w:customStyle="1" w:styleId="NoSpacingChar">
    <w:name w:val="No Spacing Char"/>
    <w:link w:val="NoSpacing"/>
    <w:uiPriority w:val="1"/>
    <w:locked/>
    <w:rsid w:val="005A054B"/>
    <w:rPr>
      <w:rFonts w:ascii="Arial" w:eastAsia="SimSun" w:hAnsi="Arial" w:cs="Mangal"/>
      <w:sz w:val="32"/>
      <w:lang w:val="en-US"/>
    </w:rPr>
  </w:style>
  <w:style w:type="paragraph" w:styleId="NoSpacing">
    <w:name w:val="No Spacing"/>
    <w:link w:val="NoSpacingChar"/>
    <w:uiPriority w:val="1"/>
    <w:qFormat/>
    <w:rsid w:val="005A054B"/>
    <w:pPr>
      <w:spacing w:after="0" w:line="240" w:lineRule="auto"/>
    </w:pPr>
    <w:rPr>
      <w:rFonts w:ascii="Arial" w:eastAsia="SimSun" w:hAnsi="Arial" w:cs="Mangal"/>
      <w:sz w:val="32"/>
      <w:lang w:val="en-US"/>
    </w:rPr>
  </w:style>
  <w:style w:type="paragraph" w:styleId="TOCHeading">
    <w:name w:val="TOC Heading"/>
    <w:basedOn w:val="Heading1"/>
    <w:next w:val="Normal"/>
    <w:uiPriority w:val="39"/>
    <w:unhideWhenUsed/>
    <w:qFormat/>
    <w:rsid w:val="009B5628"/>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9B5628"/>
    <w:pPr>
      <w:spacing w:after="100"/>
    </w:pPr>
  </w:style>
  <w:style w:type="character" w:styleId="Hyperlink">
    <w:name w:val="Hyperlink"/>
    <w:basedOn w:val="DefaultParagraphFont"/>
    <w:uiPriority w:val="99"/>
    <w:unhideWhenUsed/>
    <w:rsid w:val="009B5628"/>
    <w:rPr>
      <w:color w:val="0563C1" w:themeColor="hyperlink"/>
      <w:u w:val="single"/>
    </w:rPr>
  </w:style>
  <w:style w:type="paragraph" w:styleId="Header">
    <w:name w:val="header"/>
    <w:basedOn w:val="Normal"/>
    <w:link w:val="HeaderChar"/>
    <w:uiPriority w:val="99"/>
    <w:unhideWhenUsed/>
    <w:rsid w:val="002B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AB0"/>
  </w:style>
  <w:style w:type="paragraph" w:styleId="Footer">
    <w:name w:val="footer"/>
    <w:basedOn w:val="Normal"/>
    <w:link w:val="FooterChar"/>
    <w:uiPriority w:val="99"/>
    <w:unhideWhenUsed/>
    <w:rsid w:val="002B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AB0"/>
  </w:style>
  <w:style w:type="paragraph" w:styleId="ListParagraph">
    <w:name w:val="List Paragraph"/>
    <w:basedOn w:val="Normal"/>
    <w:uiPriority w:val="34"/>
    <w:qFormat/>
    <w:rsid w:val="005914D5"/>
    <w:pPr>
      <w:ind w:left="720"/>
      <w:contextualSpacing/>
    </w:pPr>
  </w:style>
  <w:style w:type="character" w:customStyle="1" w:styleId="Heading2Char">
    <w:name w:val="Heading 2 Char"/>
    <w:basedOn w:val="DefaultParagraphFont"/>
    <w:link w:val="Heading2"/>
    <w:uiPriority w:val="9"/>
    <w:rsid w:val="005106DF"/>
    <w:rPr>
      <w:rFonts w:ascii="Arial" w:eastAsiaTheme="majorEastAsia" w:hAnsi="Arial" w:cstheme="majorBidi"/>
      <w:b/>
      <w:sz w:val="26"/>
      <w:szCs w:val="26"/>
    </w:rPr>
  </w:style>
  <w:style w:type="paragraph" w:styleId="TOC2">
    <w:name w:val="toc 2"/>
    <w:basedOn w:val="Normal"/>
    <w:next w:val="Normal"/>
    <w:autoRedefine/>
    <w:uiPriority w:val="39"/>
    <w:unhideWhenUsed/>
    <w:rsid w:val="005E4657"/>
    <w:pPr>
      <w:spacing w:after="100"/>
      <w:ind w:left="220"/>
    </w:pPr>
  </w:style>
  <w:style w:type="paragraph" w:styleId="NormalWeb">
    <w:name w:val="Normal (Web)"/>
    <w:basedOn w:val="Normal"/>
    <w:uiPriority w:val="99"/>
    <w:semiHidden/>
    <w:unhideWhenUsed/>
    <w:rsid w:val="00953D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2333">
      <w:bodyDiv w:val="1"/>
      <w:marLeft w:val="0"/>
      <w:marRight w:val="0"/>
      <w:marTop w:val="0"/>
      <w:marBottom w:val="0"/>
      <w:divBdr>
        <w:top w:val="none" w:sz="0" w:space="0" w:color="auto"/>
        <w:left w:val="none" w:sz="0" w:space="0" w:color="auto"/>
        <w:bottom w:val="none" w:sz="0" w:space="0" w:color="auto"/>
        <w:right w:val="none" w:sz="0" w:space="0" w:color="auto"/>
      </w:divBdr>
    </w:div>
    <w:div w:id="375736279">
      <w:bodyDiv w:val="1"/>
      <w:marLeft w:val="0"/>
      <w:marRight w:val="0"/>
      <w:marTop w:val="0"/>
      <w:marBottom w:val="0"/>
      <w:divBdr>
        <w:top w:val="none" w:sz="0" w:space="0" w:color="auto"/>
        <w:left w:val="none" w:sz="0" w:space="0" w:color="auto"/>
        <w:bottom w:val="none" w:sz="0" w:space="0" w:color="auto"/>
        <w:right w:val="none" w:sz="0" w:space="0" w:color="auto"/>
      </w:divBdr>
    </w:div>
    <w:div w:id="631864801">
      <w:bodyDiv w:val="1"/>
      <w:marLeft w:val="0"/>
      <w:marRight w:val="0"/>
      <w:marTop w:val="0"/>
      <w:marBottom w:val="0"/>
      <w:divBdr>
        <w:top w:val="none" w:sz="0" w:space="0" w:color="auto"/>
        <w:left w:val="none" w:sz="0" w:space="0" w:color="auto"/>
        <w:bottom w:val="none" w:sz="0" w:space="0" w:color="auto"/>
        <w:right w:val="none" w:sz="0" w:space="0" w:color="auto"/>
      </w:divBdr>
    </w:div>
    <w:div w:id="688486879">
      <w:bodyDiv w:val="1"/>
      <w:marLeft w:val="0"/>
      <w:marRight w:val="0"/>
      <w:marTop w:val="0"/>
      <w:marBottom w:val="0"/>
      <w:divBdr>
        <w:top w:val="none" w:sz="0" w:space="0" w:color="auto"/>
        <w:left w:val="none" w:sz="0" w:space="0" w:color="auto"/>
        <w:bottom w:val="none" w:sz="0" w:space="0" w:color="auto"/>
        <w:right w:val="none" w:sz="0" w:space="0" w:color="auto"/>
      </w:divBdr>
    </w:div>
    <w:div w:id="776483862">
      <w:bodyDiv w:val="1"/>
      <w:marLeft w:val="0"/>
      <w:marRight w:val="0"/>
      <w:marTop w:val="0"/>
      <w:marBottom w:val="0"/>
      <w:divBdr>
        <w:top w:val="none" w:sz="0" w:space="0" w:color="auto"/>
        <w:left w:val="none" w:sz="0" w:space="0" w:color="auto"/>
        <w:bottom w:val="none" w:sz="0" w:space="0" w:color="auto"/>
        <w:right w:val="none" w:sz="0" w:space="0" w:color="auto"/>
      </w:divBdr>
    </w:div>
    <w:div w:id="842547638">
      <w:bodyDiv w:val="1"/>
      <w:marLeft w:val="0"/>
      <w:marRight w:val="0"/>
      <w:marTop w:val="0"/>
      <w:marBottom w:val="0"/>
      <w:divBdr>
        <w:top w:val="none" w:sz="0" w:space="0" w:color="auto"/>
        <w:left w:val="none" w:sz="0" w:space="0" w:color="auto"/>
        <w:bottom w:val="none" w:sz="0" w:space="0" w:color="auto"/>
        <w:right w:val="none" w:sz="0" w:space="0" w:color="auto"/>
      </w:divBdr>
    </w:div>
    <w:div w:id="951593692">
      <w:bodyDiv w:val="1"/>
      <w:marLeft w:val="0"/>
      <w:marRight w:val="0"/>
      <w:marTop w:val="0"/>
      <w:marBottom w:val="0"/>
      <w:divBdr>
        <w:top w:val="none" w:sz="0" w:space="0" w:color="auto"/>
        <w:left w:val="none" w:sz="0" w:space="0" w:color="auto"/>
        <w:bottom w:val="none" w:sz="0" w:space="0" w:color="auto"/>
        <w:right w:val="none" w:sz="0" w:space="0" w:color="auto"/>
      </w:divBdr>
    </w:div>
    <w:div w:id="1054087053">
      <w:bodyDiv w:val="1"/>
      <w:marLeft w:val="0"/>
      <w:marRight w:val="0"/>
      <w:marTop w:val="0"/>
      <w:marBottom w:val="0"/>
      <w:divBdr>
        <w:top w:val="none" w:sz="0" w:space="0" w:color="auto"/>
        <w:left w:val="none" w:sz="0" w:space="0" w:color="auto"/>
        <w:bottom w:val="none" w:sz="0" w:space="0" w:color="auto"/>
        <w:right w:val="none" w:sz="0" w:space="0" w:color="auto"/>
      </w:divBdr>
    </w:div>
    <w:div w:id="1088887400">
      <w:bodyDiv w:val="1"/>
      <w:marLeft w:val="0"/>
      <w:marRight w:val="0"/>
      <w:marTop w:val="0"/>
      <w:marBottom w:val="0"/>
      <w:divBdr>
        <w:top w:val="none" w:sz="0" w:space="0" w:color="auto"/>
        <w:left w:val="none" w:sz="0" w:space="0" w:color="auto"/>
        <w:bottom w:val="none" w:sz="0" w:space="0" w:color="auto"/>
        <w:right w:val="none" w:sz="0" w:space="0" w:color="auto"/>
      </w:divBdr>
    </w:div>
    <w:div w:id="14424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50A7-AF1E-4B3B-8325-6EFC3D7D3CBA}">
  <ds:schemaRefs>
    <ds:schemaRef ds:uri="http://schemas.microsoft.com/sharepoint/v3/contenttype/forms"/>
  </ds:schemaRefs>
</ds:datastoreItem>
</file>

<file path=customXml/itemProps2.xml><?xml version="1.0" encoding="utf-8"?>
<ds:datastoreItem xmlns:ds="http://schemas.openxmlformats.org/officeDocument/2006/customXml" ds:itemID="{CF02680A-C8B6-466E-80DA-5CF4DA660E04}">
  <ds:schemaRefs>
    <ds:schemaRef ds:uri="http://schemas.microsoft.com/office/2006/documentManagement/types"/>
    <ds:schemaRef ds:uri="http://schemas.microsoft.com/office/2006/metadata/properties"/>
    <ds:schemaRef ds:uri="http://purl.org/dc/elements/1.1/"/>
    <ds:schemaRef ds:uri="0bec18fc-f114-415a-892c-7a4e80c68006"/>
    <ds:schemaRef ds:uri="http://purl.org/dc/terms/"/>
    <ds:schemaRef ds:uri="http://schemas.microsoft.com/office/infopath/2007/PartnerControls"/>
    <ds:schemaRef ds:uri="e6b92012-73ef-42fe-b930-ea647f4e298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869D3B9-3716-44BD-AEB9-356DD352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30B06-4500-4FCE-A0A7-86C38425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3710</Words>
  <Characters>21150</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Taylor</dc:creator>
  <cp:keywords/>
  <dc:description/>
  <cp:lastModifiedBy>Anna Briggs</cp:lastModifiedBy>
  <cp:revision>2</cp:revision>
  <dcterms:created xsi:type="dcterms:W3CDTF">2019-07-15T02:37:00Z</dcterms:created>
  <dcterms:modified xsi:type="dcterms:W3CDTF">2019-07-15T02:37:00Z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